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80" w:after="80"/>
        <w:jc w:val="center"/>
      </w:pPr>
      <w:r>
        <w:rPr>
          <w:rFonts w:ascii="Arial" w:cs="Arial" w:eastAsia="Arial" w:hAnsi="Arial"/>
          <w:b/>
          <w:bCs/>
          <w:caps/>
          <w:color w:val="1B2A4A"/>
          <w:sz w:val="48"/>
          <w:szCs w:val="48"/>
        </w:rPr>
        <w:t xml:space="preserve">WHITE PAPER</w:t>
      </w:r>
    </w:p>
    <w:p>
      <w:pPr>
        <w:spacing w:before="80" w:after="80"/>
        <w:jc w:val="center"/>
      </w:pPr>
      <w:r>
        <w:rPr>
          <w:rFonts w:ascii="Arial" w:cs="Arial" w:eastAsia="Arial" w:hAnsi="Arial"/>
          <w:b/>
          <w:bCs/>
          <w:color w:val="8B0000"/>
          <w:sz w:val="28"/>
          <w:szCs w:val="28"/>
        </w:rPr>
        <w:t xml:space="preserve">COMPANION PRESUMPTION REBUTTAL DOCUMENT</w:t>
      </w:r>
    </w:p>
    <w:p>
      <w:pPr>
        <w:spacing w:before="80" w:after="80"/>
      </w:pPr>
      <w:r>
        <w:t xml:space="preserve"/>
      </w:r>
    </w:p>
    <w:p>
      <w:pPr>
        <w:spacing w:before="80" w:after="80"/>
        <w:jc w:val="center"/>
      </w:pPr>
      <w:r>
        <w:rPr>
          <w:rFonts w:ascii="Arial" w:cs="Arial" w:eastAsia="Arial" w:hAnsi="Arial"/>
          <w:b/>
          <w:bCs/>
          <w:color w:val="1B2A4A"/>
          <w:sz w:val="24"/>
          <w:szCs w:val="24"/>
        </w:rPr>
        <w:t xml:space="preserve">IN THE MATTER OF:</w:t>
      </w:r>
    </w:p>
    <w:p>
      <w:pPr>
        <w:spacing w:before="80" w:after="80"/>
        <w:jc w:val="center"/>
      </w:pPr>
      <w:r>
        <w:rPr>
          <w:rFonts w:ascii="Arial" w:cs="Arial" w:eastAsia="Arial" w:hAnsi="Arial"/>
          <w:b/>
          <w:bCs/>
          <w:sz w:val="24"/>
          <w:szCs w:val="24"/>
        </w:rPr>
        <w:t xml:space="preserve">PROTECTION OF TRUST RES, PERSONAL PROPERTY INTERESTS,</w:t>
      </w:r>
    </w:p>
    <w:p>
      <w:pPr>
        <w:spacing w:before="80" w:after="80"/>
        <w:jc w:val="center"/>
      </w:pPr>
      <w:r>
        <w:rPr>
          <w:rFonts w:ascii="Arial" w:cs="Arial" w:eastAsia="Arial" w:hAnsi="Arial"/>
          <w:b/>
          <w:bCs/>
          <w:sz w:val="24"/>
          <w:szCs w:val="24"/>
        </w:rPr>
        <w:t xml:space="preserve">PROMISSORY INSTRUMENTS, COMMON LAW COPYRIGHT,</w:t>
      </w:r>
    </w:p>
    <w:p>
      <w:pPr>
        <w:spacing w:before="80" w:after="80"/>
        <w:jc w:val="center"/>
      </w:pPr>
      <w:r>
        <w:rPr>
          <w:rFonts w:ascii="Arial" w:cs="Arial" w:eastAsia="Arial" w:hAnsi="Arial"/>
          <w:b/>
          <w:bCs/>
          <w:sz w:val="24"/>
          <w:szCs w:val="24"/>
        </w:rPr>
        <w:t xml:space="preserve">NOTICE, AND ARBITRATION</w:t>
      </w:r>
    </w:p>
    <w:p>
      <w:pPr>
        <w:spacing w:before="80" w:after="80"/>
      </w:pPr>
      <w:r>
        <w:t xml:space="preserve"/>
      </w:r>
    </w:p>
    <w:p>
      <w:pPr>
        <w:pBdr>
          <w:bottom w:val="single" w:color="1B2A4A" w:sz="6" w:space="1"/>
        </w:pBdr>
        <w:spacing w:before="120" w:after="120"/>
      </w:pPr>
      <w:r>
        <w:t xml:space="preserve"/>
      </w:r>
    </w:p>
    <w:p>
      <w:pPr>
        <w:spacing w:before="80" w:after="80"/>
      </w:pPr>
      <w:r>
        <w:t xml:space="preserve"/>
      </w:r>
    </w:p>
    <w:p>
      <w:pPr>
        <w:spacing w:before="80" w:after="80"/>
        <w:jc w:val="center"/>
      </w:pPr>
      <w:r>
        <w:rPr>
          <w:rFonts w:ascii="Arial" w:cs="Arial" w:eastAsia="Arial" w:hAnsi="Arial"/>
          <w:b/>
          <w:bCs/>
          <w:color w:val="1B2A4A"/>
          <w:sz w:val="22"/>
          <w:szCs w:val="22"/>
        </w:rPr>
        <w:t xml:space="preserve">ISSUED UNDER THE AUTHORITY OF THE TRUSTEE</w:t>
      </w:r>
    </w:p>
    <w:p>
      <w:pPr>
        <w:spacing w:before="80" w:after="80"/>
        <w:jc w:val="center"/>
      </w:pPr>
      <w:r>
        <w:rPr>
          <w:rFonts w:ascii="Arial" w:cs="Arial" w:eastAsia="Arial" w:hAnsi="Arial"/>
          <w:b/>
          <w:bCs/>
          <w:sz w:val="22"/>
          <w:szCs w:val="22"/>
        </w:rPr>
        <w:t xml:space="preserve">COMMON-LAW ORGANIZATIONAL CONSTRUCTIVE EXPRESS SPENDTHRIFT TRUST</w:t>
      </w:r>
    </w:p>
    <w:p>
      <w:pPr>
        <w:spacing w:before="80" w:after="80"/>
      </w:pPr>
      <w:r>
        <w:t xml:space="preserve"/>
      </w:r>
    </w:p>
    <w:p>
      <w:pPr>
        <w:spacing w:before="80" w:after="80"/>
        <w:jc w:val="center"/>
      </w:pPr>
      <w:r>
        <w:rPr>
          <w:rFonts w:ascii="Arial" w:cs="Arial" w:eastAsia="Arial" w:hAnsi="Arial"/>
          <w:b w:val="false"/>
          <w:bCs w:val="false"/>
          <w:sz w:val="22"/>
          <w:szCs w:val="22"/>
        </w:rPr>
        <w:t xml:space="preserve">OPERATIVE DATE: MARCH 2026</w:t>
      </w:r>
    </w:p>
    <w:p>
      <w:pPr>
        <w:spacing w:before="80" w:after="80"/>
      </w:pPr>
      <w:r>
        <w:t xml:space="preserve"/>
      </w:r>
    </w:p>
    <w:p>
      <w:pPr>
        <w:pBdr>
          <w:bottom w:val="single" w:color="1B2A4A" w:sz="6" w:space="1"/>
        </w:pBdr>
        <w:spacing w:before="120" w:after="120"/>
      </w:pPr>
      <w:r>
        <w:t xml:space="preserve"/>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DOCUMENT IS A RECORD OF FACTS AND CONCLUSIONS OF LAW.</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EVERY STATEMENT IS GROUNDED IN:</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CONSTITUTION OF THE UNITED STATES,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ACTS OF CONGRESS AS PUBLISHED IN THE UNITED STATES STATUTES AT LARGE,</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HOLDINGS OF THE SUPREME COURT OF THE UNITED STATES,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AND THE CONGRESSIONAL RECORD ESTABLISHING LEGISLATIVE INTENT.</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UNITED STATES CODE IS EDITORIAL COMMENTARY. IT IS NOT LAW.</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IT APPEARS IN PARENTHESES ONLY AND IS NEVER CITED AS AUTHORITY.</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NO HEDGING. NO NUANCE. NO CLARIFICATION. NO PRESUMPTION.</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EVERY CONCLUSION IS DIRECT, DECLARATIVE, AND FINAL.</w:t>
            </w:r>
          </w:p>
        </w:tc>
      </w:tr>
    </w:tbl>
    <w:p>
      <w:r>
        <w:br w:type="page"/>
      </w:r>
    </w:p>
    <w:p>
      <w:pPr>
        <w:pStyle w:val="Heading1"/>
        <w:spacing w:before="320" w:after="160"/>
      </w:pPr>
      <w:r>
        <w:rPr>
          <w:rFonts w:ascii="Arial" w:cs="Arial" w:eastAsia="Arial" w:hAnsi="Arial"/>
          <w:b/>
          <w:bCs/>
          <w:color w:val="1B2A4A"/>
          <w:sz w:val="28"/>
          <w:szCs w:val="28"/>
        </w:rPr>
        <w:t xml:space="preserve">TABLE OF CONTENTS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SECTION</w:t>
            </w:r>
          </w:p>
        </w:tc>
        <w:tc>
          <w:tcPr>
            <w:tcW w:type="dxa" w:w="516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CONTENT</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I</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PURPOSE AND FRAMEWORK</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II</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HIERARCHY OF LAW DIAGRAM</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III</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TABLE OF AUTHORITIES</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IV</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TIMELINE OF RECORD EVENTS</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V</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CLAIM I — UNAUTHORIZED COMMERCIAL USE OF PERSONAL PROPERTY: PRESUMPTION REBUTTAL</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VI</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CLAIM II — PROMISSORY NOTE AT PAR / FEDERAL RESERVE ACT: PRESUMPTION REBUTTAL</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VII</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CLAIM III — DEPOSIT ACCOUNT CONTROL AGREEMENT — OWNER AND CUSTODIAN: PRESUMPTION REBUTTAL</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VIII</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CLAIM IV — COMMON LAW COPYRIGHT SECURED BY THE BILL OF RIGHTS: PRESUMPTION REBUTTAL</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IX</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CLAIM V — TRUST LAW — TRUSTEE DUTY TO PROTECT TRUST RES: PRESUMPTION REBUTTAL</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X</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CLAIM VI — NOTICE AND DUE PROCESS: PRESUMPTION REBUTTAL</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XI</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CLAIM VII — ARBITRATION — NON-SIGNATORY BOUND BY CONDUCT: PRESUMPTION REBUTTAL</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XII</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CLAIM VIII — TACIT ACQUIESCENCE AS ADMISSION OF LAW: PRESUMPTION REBUTTAL</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XIII</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ZERO REDUNDANCY PROOF TABLE</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XIV</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NOT GOBBLEDYGOOK — AUTHORITY VERIFICATION TABLE</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XV</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COUNTER-REBUTTAL BARRIER — MASTER STATEMENT</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SECTION XVI</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FINAL CONCLUSION OF LAW</w:t>
            </w:r>
          </w:p>
        </w:tc>
      </w:tr>
    </w:tbl>
    <w:p>
      <w:r>
        <w:br w:type="page"/>
      </w:r>
    </w:p>
    <w:p>
      <w:pPr>
        <w:pStyle w:val="Heading1"/>
        <w:spacing w:before="320" w:after="160"/>
      </w:pPr>
      <w:r>
        <w:rPr>
          <w:rFonts w:ascii="Arial" w:cs="Arial" w:eastAsia="Arial" w:hAnsi="Arial"/>
          <w:b/>
          <w:bCs/>
          <w:color w:val="1B2A4A"/>
          <w:sz w:val="28"/>
          <w:szCs w:val="28"/>
        </w:rPr>
        <w:t xml:space="preserve">SECTION I — PURPOSE AND FRAMEWORK</w:t>
      </w:r>
    </w:p>
    <w:p>
      <w:pPr>
        <w:pBdr>
          <w:bottom w:val="single" w:color="1B2A4A" w:sz="6" w:space="1"/>
        </w:pBdr>
        <w:spacing w:before="120" w:after="120"/>
      </w:pPr>
      <w:r>
        <w:t xml:space="preserve"/>
      </w:r>
    </w:p>
    <w:p>
      <w:pPr>
        <w:spacing w:before="80" w:after="80"/>
      </w:pPr>
      <w:r>
        <w:t xml:space="preserve"/>
      </w:r>
    </w:p>
    <w:p>
      <w:pPr>
        <w:spacing w:before="80" w:after="80"/>
      </w:pPr>
      <w:r>
        <w:rPr>
          <w:rFonts w:ascii="Arial" w:cs="Arial" w:eastAsia="Arial" w:hAnsi="Arial"/>
          <w:b w:val="false"/>
          <w:bCs w:val="false"/>
          <w:sz w:val="22"/>
          <w:szCs w:val="22"/>
        </w:rPr>
        <w:t xml:space="preserve">This White Paper is produced as the Companion Presumption Rebuttal Document to the Cease and Desist Notice of Trespass Upon Trust Res issued by the Trustee of the Common-Law Organizational Constructive Express Spendthrift Trust. This document places on the record — with specificity — the exact Act of Congress, the exact Statutes at Large citation, the exact Congressional Record statement, and the exact holding of the Supreme Court of the United States that makes every single claim a legally cognizable right.</w:t>
      </w:r>
    </w:p>
    <w:p>
      <w:pPr>
        <w:spacing w:before="80" w:after="80"/>
      </w:pPr>
      <w:r>
        <w:t xml:space="preserve"/>
      </w:r>
    </w:p>
    <w:p>
      <w:pPr>
        <w:spacing w:before="80" w:after="80"/>
      </w:pPr>
      <w:r>
        <w:rPr>
          <w:rFonts w:ascii="Arial" w:cs="Arial" w:eastAsia="Arial" w:hAnsi="Arial"/>
          <w:b w:val="false"/>
          <w:bCs w:val="false"/>
          <w:sz w:val="22"/>
          <w:szCs w:val="22"/>
        </w:rPr>
        <w:t xml:space="preserve">This document then states — with specificity — why any attempt to characterize those claims as frivolous, meritless, redundant, baseless, pointless, or gobbledygook is itself an attempt to characterize an Act of Congress as frivolous. That is not a legal argument. That is not cognizable. That fails as a matter of law.</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DEFINITIONS — AS A MATTER OF LAW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TERM</w:t>
            </w:r>
          </w:p>
        </w:tc>
        <w:tc>
          <w:tcPr>
            <w:tcW w:type="dxa" w:w="516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LEGAL MEANING</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FRIVOLOUS</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 claim lacking any basis in law or fact. A claim grounded in the Statutes at Large and a holding of the Supreme Court of the United States is not frivolous. Period.</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MERITLESS</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A claim that cannot succeed as a matter of law. A claim that Congress enacted into law and the Supreme Court of the United States confirmed is not meritless. Period.</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BASELESS</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 claim with no foundation in law. A claim resting on the Constitution of the United States, an Act of Congress, and a holding of the Supreme Court of the United States is not baseless. Period.</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REDUNDANT</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A claim that duplicates another claim addressing the same right, statute, and consequence. Each claim herein addresses a distinct right, a distinct statute, and a distinct legal consequence. None is redundant.</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GOBBLEDYGOOK</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 claim that is unintelligible. Every claim herein is grounded in the text of the Constitution, the text of an Act of Congress, and the text of a holding of the Supreme Court of the United States. None is unintelligible.</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THE FIVE-STEP PRESUMPTION DESTRUCTION FRAMEWORK</w:t>
      </w:r>
    </w:p>
    <w:p>
      <w:pPr>
        <w:spacing w:before="80" w:after="80"/>
      </w:pPr>
      <w:r>
        <w:rPr>
          <w:rFonts w:ascii="Arial" w:cs="Arial" w:eastAsia="Arial" w:hAnsi="Arial"/>
          <w:b w:val="false"/>
          <w:bCs w:val="false"/>
          <w:sz w:val="22"/>
          <w:szCs w:val="22"/>
        </w:rPr>
        <w:t xml:space="preserve">Every presumption in this document is destroyed using all five steps. No presumption survives all five steps. This is not argument. This is the structure of law.</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4000"/>
        <w:gridCol w:w="3360"/>
      </w:tblGrid>
      <w:tr>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STEP</w:t>
            </w:r>
          </w:p>
        </w:tc>
        <w:tc>
          <w:tcPr>
            <w:tcW w:type="dxa" w:w="4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ACTION</w:t>
            </w:r>
          </w:p>
        </w:tc>
        <w:tc>
          <w:tcPr>
            <w:tcW w:type="dxa" w:w="336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AUTHORITY USED</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STEP 1</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State the presumption in its most forceful form — exactly as the opposing party states it.</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None required — the presumption speaks for itself.</w:t>
            </w:r>
          </w:p>
        </w:tc>
      </w:tr>
      <w:tr>
        <w:tc>
          <w:tcPr>
            <w:tcW w:type="dxa" w:w="20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STEP 2</w:t>
            </w:r>
          </w:p>
        </w:tc>
        <w:tc>
          <w:tcPr>
            <w:tcW w:type="dxa" w:w="40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State the Act of Congress and Statutes at Large citation that directly rebuts the presumption. Quote the operative text.</w:t>
            </w:r>
          </w:p>
        </w:tc>
        <w:tc>
          <w:tcPr>
            <w:tcW w:type="dxa" w:w="33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Statutes at Large — published law of Congress.</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STEP 3</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State the Congressional Record establishing legislative intent behind the Act.</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Congressional Record — the record of what Congress intended.</w:t>
            </w:r>
          </w:p>
        </w:tc>
      </w:tr>
      <w:tr>
        <w:tc>
          <w:tcPr>
            <w:tcW w:type="dxa" w:w="20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STEP 4</w:t>
            </w:r>
          </w:p>
        </w:tc>
        <w:tc>
          <w:tcPr>
            <w:tcW w:type="dxa" w:w="40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State two holdings of the Supreme Court of the United States directly on point.</w:t>
            </w:r>
          </w:p>
        </w:tc>
        <w:tc>
          <w:tcPr>
            <w:tcW w:type="dxa" w:w="33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Holdings of the Supreme Court of the United States — binding on every court.</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STEP 5</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State the Counter-Rebuttal Barrier — why no response to this rebuttal succeeds as a matter of law.</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law itself — which no party has authority to contradict.</w:t>
            </w:r>
          </w:p>
        </w:tc>
      </w:tr>
    </w:tbl>
    <w:p>
      <w:r>
        <w:br w:type="page"/>
      </w:r>
    </w:p>
    <w:p>
      <w:pPr>
        <w:pStyle w:val="Heading1"/>
        <w:spacing w:before="320" w:after="160"/>
      </w:pPr>
      <w:r>
        <w:rPr>
          <w:rFonts w:ascii="Arial" w:cs="Arial" w:eastAsia="Arial" w:hAnsi="Arial"/>
          <w:b/>
          <w:bCs/>
          <w:color w:val="1B2A4A"/>
          <w:sz w:val="28"/>
          <w:szCs w:val="28"/>
        </w:rPr>
        <w:t xml:space="preserve">SECTION II — HIERARCHY OF LAW DIAGRAM</w:t>
      </w:r>
    </w:p>
    <w:p>
      <w:pPr>
        <w:pBdr>
          <w:bottom w:val="single" w:color="1B2A4A" w:sz="6" w:space="1"/>
        </w:pBdr>
        <w:spacing w:before="120" w:after="120"/>
      </w:pPr>
      <w:r>
        <w:t xml:space="preserve"/>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TIER 1 — THE CONSTITUTION OF THE UNITED STATES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Original text and all Amendments thereto.</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supreme law of the land. Article VI commands this supremacy without exception.</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TIER 2 — ACTS OF CONGRESS / STATUTES AT LARGE</w:t>
            </w:r>
          </w:p>
        </w:tc>
      </w:tr>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Laws enacted by Congress, published in the United States Statutes at Large.</w:t>
            </w:r>
          </w:p>
        </w:tc>
      </w:tr>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Statutes at Large are controlling. These are the laws.</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TIER 3 — HOLDINGS OF THE SUPREME COURT OF THE UNITED STATES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Named, issued, and reported holdings of the Supreme Court of the United States.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Binding precedent on every court in the United States.</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80"/>
          <w:bottom w:type="dxa" w:w="80"/>
        </w:tblCellMar>
      </w:tblPr>
      <w:tblGrid>
        <w:gridCol w:w="9360"/>
      </w:tblGrid>
      <w:tr>
        <w:tc>
          <w:tcPr>
            <w:tcW w:type="dxa" w:w="9360"/>
            <w:tcBorders>
              <w:top w:val="single" w:color="CCCCCC" w:sz="1"/>
              <w:left w:val="single" w:color="CCCCCC" w:sz="1"/>
              <w:bottom w:val="single" w:color="CCCCCC" w:sz="1"/>
              <w:right w:val="single" w:color="CCCCCC" w:sz="1"/>
            </w:tcBorders>
            <w:shd w:fill="F2F4F8" w:val="clear"/>
            <w:tcMar>
              <w:top w:type="dxa" w:w="100"/>
              <w:left w:type="dxa" w:w="180"/>
              <w:bottom w:type="dxa" w:w="100"/>
              <w:right w:type="dxa" w:w="180"/>
            </w:tcMar>
          </w:tcPr>
          <w:p>
            <w:r>
              <w:rPr>
                <w:rFonts w:ascii="Arial" w:cs="Arial" w:eastAsia="Arial" w:hAnsi="Arial"/>
                <w:b/>
                <w:bCs/>
                <w:sz w:val="22"/>
                <w:szCs w:val="22"/>
              </w:rPr>
              <w:t xml:space="preserve">TIER 4 — CONGRESSIONAL RECORD</w:t>
            </w:r>
          </w:p>
          <w:p>
            <w:r>
              <w:rPr>
                <w:rFonts w:ascii="Arial" w:cs="Arial" w:eastAsia="Arial" w:hAnsi="Arial"/>
                <w:sz w:val="20"/>
                <w:szCs w:val="20"/>
              </w:rPr>
              <w:t xml:space="preserve">Statements of Members of Congress made during legislative debate.</w:t>
            </w:r>
          </w:p>
          <w:p>
            <w:r>
              <w:rPr>
                <w:rFonts w:ascii="Arial" w:cs="Arial" w:eastAsia="Arial" w:hAnsi="Arial"/>
                <w:sz w:val="20"/>
                <w:szCs w:val="20"/>
              </w:rPr>
              <w:t xml:space="preserve">Establishes legislative intent behind the Act.</w:t>
            </w:r>
          </w:p>
        </w:tc>
      </w:tr>
    </w:tbl>
    <w:p>
      <w:pPr>
        <w:spacing w:before="80" w:after="80"/>
      </w:pPr>
      <w:r>
        <w:t xml:space="preserve"/>
      </w:r>
    </w:p>
    <w:p>
      <w:pPr>
        <w:jc w:val="center"/>
      </w:pPr>
      <w:r>
        <w:rPr>
          <w:rFonts w:ascii="Arial" w:cs="Arial" w:eastAsia="Arial" w:hAnsi="Arial"/>
          <w:b/>
          <w:bCs/>
          <w:color w:val="8B0000"/>
          <w:sz w:val="20"/>
          <w:szCs w:val="20"/>
        </w:rPr>
        <w:t xml:space="preserve">─────────────────── BELOW THIS LINE IS NOT LAW ───────────────────</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TIER</w:t>
            </w:r>
          </w:p>
        </w:tc>
        <w:tc>
          <w:tcPr>
            <w:tcW w:type="dxa" w:w="516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STATUS</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TIER 5 — U.S. Code</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Editorial commentary produced by the Law Revision Counsel. NOT enacted by Congress. NOT law. Codification of convenience only. Appears in parentheses exclusively.</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TIER 6 — Federal Rules</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Not enacted by Congress. Not law. Inferior to the Statutes at Large in all respects.</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TIER 7 — State Law</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Preempted where federal constitutional or statutory law controls.</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TIER 8 — Agency Rules</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Not enacted by Congress. Administrative commentary only.</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TIER 9 — Court-Created Presumptions</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Irrebuttable presumptions are unconstitutional. All court-created presumptions are subject to constitutional challenge.</w:t>
            </w:r>
          </w:p>
        </w:tc>
      </w:tr>
    </w:tbl>
    <w:p>
      <w:r>
        <w:br w:type="page"/>
      </w:r>
    </w:p>
    <w:p>
      <w:pPr>
        <w:pStyle w:val="Heading1"/>
        <w:spacing w:before="320" w:after="160"/>
      </w:pPr>
      <w:r>
        <w:rPr>
          <w:rFonts w:ascii="Arial" w:cs="Arial" w:eastAsia="Arial" w:hAnsi="Arial"/>
          <w:b/>
          <w:bCs/>
          <w:color w:val="1B2A4A"/>
          <w:sz w:val="28"/>
          <w:szCs w:val="28"/>
        </w:rPr>
        <w:t xml:space="preserve">SECTION III — TABLE OF AUTHORITIES</w:t>
      </w:r>
    </w:p>
    <w:p>
      <w:pPr>
        <w:pBdr>
          <w:bottom w:val="single" w:color="1B2A4A" w:sz="6" w:space="1"/>
        </w:pBdr>
        <w:spacing w:before="120" w:after="120"/>
      </w:pPr>
      <w:r>
        <w:t xml:space="preserve"/>
      </w:r>
    </w:p>
    <w:p>
      <w:pPr>
        <w:spacing w:before="80" w:after="80"/>
      </w:pPr>
      <w:r>
        <w:t xml:space="preserve"/>
      </w:r>
    </w:p>
    <w:p>
      <w:pPr>
        <w:pStyle w:val="Heading2"/>
        <w:spacing w:before="240" w:after="120"/>
      </w:pPr>
      <w:r>
        <w:rPr>
          <w:rFonts w:ascii="Arial" w:cs="Arial" w:eastAsia="Arial" w:hAnsi="Arial"/>
          <w:b/>
          <w:bCs/>
          <w:color w:val="1B2A4A"/>
          <w:sz w:val="24"/>
          <w:szCs w:val="24"/>
        </w:rPr>
        <w:t xml:space="preserve">CONSTITUTIONAL PROVISIONS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PROVISION</w:t>
            </w:r>
          </w:p>
        </w:tc>
        <w:tc>
          <w:tcPr>
            <w:tcW w:type="dxa" w:w="516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APPLICATION</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First Amendment</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Secures the right of expression. The product of a person's mind, voice, name, and identity is their property — secured against unauthorized commercial appropriation.</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Fourth Amendment</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Secures the right of the people to be in their persons, houses, papers, and effects. Papers and effects are explicitly named as protected property.</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Fifth Amendment</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No person shall be deprived of life, liberty, or property without due process of law. No private property shall be taken for public use without just compensation.</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Seventh Amendment</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right to a trial by jury is SECURED in suits at common law where the value in controversy exceeds twenty dollars.</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Ninth Amendment</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enumeration in the Constitution of certain rights shall not be construed to deny or disparage others retained by the people. Common law property rights retained by the people are secured.</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Tenth Amendment</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Powers not delegated to the United States, nor prohibited to the States, are reserved to the States or to the people. Common law copyright and common law property rights are reserved to the people.</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Article I, Section 8, Clause 8</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Secures to authors and inventors the exclusive right to their writings and discoveries for limited times.</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Article VI, Clause 2</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Constitution and laws of the United States shall be the supreme law of the land.</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STATUTES AT LARGE — CONTROLLING ACTS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CITATION</w:t>
            </w:r>
          </w:p>
        </w:tc>
        <w:tc>
          <w:tcPr>
            <w:tcW w:type="dxa" w:w="516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CONTROLLING PROVISION</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38 Stat. 251 (1913) — Federal Reserve Act, Section 16</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 note deposited with a Federal Reserve agent is received at par — face value. The obligation reverts to the Federal Reserve Bank. The note is eligible paper and a security.</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43 Stat. 883 (1925) — Act of February 12, 1925</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Arbitration agreements are valid, irrevocable, and enforceable. Every written arbitration agreement is specifically enforceable under the terms of the Act.</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17 Stat. 13 (1871) — Civil Rights Act of April 20, 1871</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Every person acting under color of law who deprives any citizen of a constitutionally secured right is personally liable.</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92 Stat. 2586 (1978) — Bankruptcy Reform Act, Section 522</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Property claimed exempt is exempt. If a party in interest does not object within 30 days, the exemption is final and absolute.</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35 Stat. 1088 (1909) — Criminal Code</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Congress criminalized any deprivation of rights under color of law. The word ANY imposes no limitation. No physical deprivation is required.</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113 Stat. 1338 (1999) — Gramm-Leach-Bliley Act</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A federally regulated depository institution is subject to federal regulation governing its use and handling of personal financial information.</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SUPREME COURT OF THE UNITED STATES — CONTROLLING HOLDINGS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HOLDING</w:t>
            </w:r>
          </w:p>
        </w:tc>
        <w:tc>
          <w:tcPr>
            <w:tcW w:type="dxa" w:w="516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AUTHORITY ESTABLISHED</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Board of Regents v. Roth, 408 U.S. 564 (1972)</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Property interests include constitutionally secured liberties. Where existing rules or understandings support a claim of entitlement, a protected property interest exists.</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Zacchini v. Scripps-Howard Broadcasting Co., 433 U.S. 562 (1977)</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A person has a property right in their own persona, performance, and identity. Unauthorized commercial appropriation is theft of goodwill.</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Ruckelshaus v. Monsanto Co., 467 U.S. 986 (1984)</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Trade secrets and proprietary information constitute property protected by the Fifth Amendment Takings Clause.</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Loretto v. Teleprompter Manhattan CATV Corp., 458 U.S. 419 (1982)</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Any permanent physical occupation or appropriation of private property constitutes a taking requiring just compensation.</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Penn Central Transportation Co. v. City of New York, 438 U.S. 104 (1978)</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Government or commercial action that destroys or diminishes the economic value of private property constitutes a taking.</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Mullane v. Central Hanover Bank &amp; Trust Co., 339 U.S. 306 (1950)</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Due process requires notice reasonably calculated to apprise a party of pending action and afford an opportunity to object before deprivation of a property right.</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Mathews v. Eldridge, 424 U.S. 319 (1976)</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Before any significant deprivation of a property interest, the affected party must receive notice and an opportunity to be heard.</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Arthur Andersen LLP v. Carlisle, 556 U.S. 624 (2009)</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Non-signatories are bound by arbitration agreements under established principles including estoppel. A non-signatory who accepts benefits under an agreement cannot reject its arbitration obligation.</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Kalb v. Feuerstein, 308 U.S. 433 (1940)</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An order issued in the absence of jurisdiction is void ab initio. It is not voidable — it is void. It confers no rights and imposes no duties.</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Steel Co. v. Citizens for Better Environment, 523 U.S. 83 (1998)</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Jurisdiction is the threshold question. A court must determine jurisdiction before proceeding. Jurisdiction cannot be assumed.</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Wisconsin v. Constantineau, 400 U.S. 433 (1971)</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Where a person's good name, reputation, honor, or integrity is at stake because of what the government or a commercial entity does to that person, due process protections attach.</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United States v. 564.54 Acres of Land, 441 U.S. 506 (1979)</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Just compensation under the Fifth Amendment is the fair market value of the property at the time of the taking.</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Granfinanciera, S.A. v. Nordberg, 492 U.S. 33 (1989)</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Congress cannot eliminate the Seventh Amendment right to trial by jury in a legal controversy by placing it inside any special tribunal or framework.</w:t>
            </w:r>
          </w:p>
        </w:tc>
      </w:tr>
    </w:tbl>
    <w:p>
      <w:r>
        <w:br w:type="page"/>
      </w:r>
    </w:p>
    <w:p>
      <w:pPr>
        <w:pStyle w:val="Heading1"/>
        <w:spacing w:before="320" w:after="160"/>
      </w:pPr>
      <w:r>
        <w:rPr>
          <w:rFonts w:ascii="Arial" w:cs="Arial" w:eastAsia="Arial" w:hAnsi="Arial"/>
          <w:b/>
          <w:bCs/>
          <w:color w:val="1B2A4A"/>
          <w:sz w:val="28"/>
          <w:szCs w:val="28"/>
        </w:rPr>
        <w:t xml:space="preserve">SECTION IV — TIMELINE OF RECORD EVENTS</w:t>
      </w:r>
    </w:p>
    <w:p>
      <w:pPr>
        <w:pBdr>
          <w:bottom w:val="single" w:color="1B2A4A" w:sz="6" w:space="1"/>
        </w:pBdr>
        <w:spacing w:before="120" w:after="120"/>
      </w:pPr>
      <w:r>
        <w:t xml:space="preserve"/>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4000"/>
        <w:gridCol w:w="3360"/>
      </w:tblGrid>
      <w:tr>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DATE / EVENT</w:t>
            </w:r>
          </w:p>
        </w:tc>
        <w:tc>
          <w:tcPr>
            <w:tcW w:type="dxa" w:w="4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EVENT ON THE RECORD</w:t>
            </w:r>
          </w:p>
        </w:tc>
        <w:tc>
          <w:tcPr>
            <w:tcW w:type="dxa" w:w="336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LEGAL CONSEQUENCE AS A MATTER OF LAW</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Property Interest Created</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Beneficiary created and established personal property interests including name, identity, reputation, papers, effects, and associated instruments.</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These interests constituted private property secured by the Fourth and Fifth Amendments from the moment of their creation.</w:t>
            </w:r>
          </w:p>
        </w:tc>
      </w:tr>
      <w:tr>
        <w:tc>
          <w:tcPr>
            <w:tcW w:type="dxa" w:w="20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Property Placed in Trust</w:t>
            </w:r>
          </w:p>
        </w:tc>
        <w:tc>
          <w:tcPr>
            <w:tcW w:type="dxa" w:w="40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Beneficiary formally placed all property interests into the Common-Law Organizational Constructive Express Spendthrift Trust and appointed the Trustee.</w:t>
            </w:r>
          </w:p>
        </w:tc>
        <w:tc>
          <w:tcPr>
            <w:tcW w:type="dxa" w:w="33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Upon placement, the Trustee acquired legal title to the Trust Res. The Trustee's fiduciary duty to protect the Trust Res became absolute and mandatory as a matter of law.</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Unauthorized Commercial Use Began</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recipient entity used, stored, processed, referenced, monetized, or transmitted Trust Res — including the Beneficiary's name, identity, address, and associated property interests — for commercial gain.</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This act constituted trespass upon Trust property, unjust enrichment, and a taking of private property for commercial use without just compensation, in violation of the Fifth Amendment and the Act of Congress.</w:t>
            </w:r>
          </w:p>
        </w:tc>
      </w:tr>
      <w:tr>
        <w:tc>
          <w:tcPr>
            <w:tcW w:type="dxa" w:w="20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Promissory Instrument Deposited at Par</w:t>
            </w:r>
          </w:p>
        </w:tc>
        <w:tc>
          <w:tcPr>
            <w:tcW w:type="dxa" w:w="40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A promissory note was received at par by a Federal Reserve member institution under the Federal Reserve Act, 38 Stat. 251, Section 16.</w:t>
            </w:r>
          </w:p>
        </w:tc>
        <w:tc>
          <w:tcPr>
            <w:tcW w:type="dxa" w:w="33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obligation reverted to the Federal Reserve Bank. The depository institution received full face value. The depository institution had no cognizable injury and is not a lender as a matter of law.</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Cease and Desist Notice Issued</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Trustee issued formal written notice to the recipient entity stating the trespass upon Trust Res and demanding cure within 72 continuous hours.</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Notice was given as required by the Supreme Court of the United States in Mullane v. Central Hanover Bank &amp; Trust Co., 339 U.S. 306 (1950), and Mathews v. Eldridge, 424 U.S. 319 (1976). The due process requirement was satisfied.</w:t>
            </w:r>
          </w:p>
        </w:tc>
      </w:tr>
      <w:tr>
        <w:tc>
          <w:tcPr>
            <w:tcW w:type="dxa" w:w="20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72-Hour Period Commenced</w:t>
            </w:r>
          </w:p>
        </w:tc>
        <w:tc>
          <w:tcPr>
            <w:tcW w:type="dxa" w:w="40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72-hour continuous-time cure period began upon delivery of the Cease and Desist Notice.</w:t>
            </w:r>
          </w:p>
        </w:tc>
        <w:tc>
          <w:tcPr>
            <w:tcW w:type="dxa" w:w="33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recipient entity had actual knowledge of the Trust Res, the trespass, the arbitration agreement, and the legal consequences of non-compliance. Knowledge was established as a matter of law.</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Failure to Cure / Non-Response</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recipient entity failed to cure, failed to respond, or failed to provide documentation of cessation within the 72-hour period.</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Non-response constitutes tacit acquiescence and admission of all facts stated in the Notice as a matter of law. The arbitration clause is triggered. The Trustee proceeds to arbitration under 43 Stat. 883 (1925).</w:t>
            </w:r>
          </w:p>
        </w:tc>
      </w:tr>
    </w:tbl>
    <w:p>
      <w:r>
        <w:br w:type="page"/>
      </w:r>
    </w:p>
    <w:p>
      <w:pPr>
        <w:pStyle w:val="Heading1"/>
        <w:spacing w:before="320" w:after="160"/>
      </w:pPr>
      <w:r>
        <w:rPr>
          <w:rFonts w:ascii="Arial" w:cs="Arial" w:eastAsia="Arial" w:hAnsi="Arial"/>
          <w:b/>
          <w:bCs/>
          <w:color w:val="1B2A4A"/>
          <w:sz w:val="28"/>
          <w:szCs w:val="28"/>
        </w:rPr>
        <w:t xml:space="preserve">SECTION V — CLAIM I — UNAUTHORIZED COMMERCIAL USE OF PERSONAL PROPERTY</w:t>
      </w:r>
    </w:p>
    <w:p>
      <w:pPr>
        <w:pBdr>
          <w:bottom w:val="single" w:color="1B2A4A" w:sz="6" w:space="1"/>
        </w:pBdr>
        <w:spacing w:before="120" w:after="120"/>
      </w:pPr>
      <w:r>
        <w:t xml:space="preserve"/>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1 — THE PRESUMPTION STATED IN ITS MOST FORCEFUL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company has a lawful business purpose for using the person's name, identity, address, and associated information. The person has no right to compensation because the use is incidental to lawful commerce.</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STEP 2 — ACT OF CONGRESS / STATUTES AT LARGE</w:t>
      </w:r>
    </w:p>
    <w:p>
      <w:pPr>
        <w:spacing w:before="80" w:after="80"/>
      </w:pPr>
      <w:r>
        <w:rPr>
          <w:rFonts w:ascii="Arial" w:cs="Arial" w:eastAsia="Arial" w:hAnsi="Arial"/>
          <w:b w:val="false"/>
          <w:bCs w:val="false"/>
          <w:sz w:val="22"/>
          <w:szCs w:val="22"/>
        </w:rPr>
        <w:t xml:space="preserve">The Fifth Amendment to the Constitution of the United States commands: no private property shall be taken for public use without just compensation. The Fourth Amendment secures persons, houses, papers, and effects against unauthorized intrusion. The Act of April 20, 1871, 17 Stat. 13, establishes that every person acting under color of law who deprives any citizen of a constitutionally secured right is personally liable. The claim of lawful business purpose does not extinguish the constitutional command of just compensation. Congress wrote the just compensation clause without exception for commercial convenience. The Statutes at Large contain no such exception.</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3 — CONGRESSIONAL RECORD / LEGISLATIVE INTENT</w:t>
      </w:r>
    </w:p>
    <w:p>
      <w:pPr>
        <w:spacing w:before="80" w:after="80"/>
      </w:pPr>
      <w:r>
        <w:rPr>
          <w:rFonts w:ascii="Arial" w:cs="Arial" w:eastAsia="Arial" w:hAnsi="Arial"/>
          <w:b w:val="false"/>
          <w:bCs w:val="false"/>
          <w:sz w:val="22"/>
          <w:szCs w:val="22"/>
        </w:rPr>
        <w:t xml:space="preserve">During the debates preceding the Fifth Amendment's ratification, the framers stated plainly that the just compensation clause applies to every taking of private property — not only physical land, but all property and property interests of the citizen. The Congressional Record of the debates on the Civil Rights Act of 1871, 17 Stat. 13, confirms that Congress intended to reach every commercial and governmental actor that appropriates the property interests of a citizen without authority. Congress used the word EVERY. That word imposes no limitation.</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4 — TWO HOLDINGS OF THE SUPREME COURT OF THE UNITED STATES</w:t>
      </w:r>
    </w:p>
    <w:p>
      <w:pPr>
        <w:spacing w:before="80" w:after="80"/>
      </w:pPr>
      <w:r>
        <w:rPr>
          <w:rFonts w:ascii="Arial" w:cs="Arial" w:eastAsia="Arial" w:hAnsi="Arial"/>
          <w:b w:val="false"/>
          <w:bCs w:val="false"/>
          <w:sz w:val="22"/>
          <w:szCs w:val="22"/>
        </w:rPr>
        <w:t xml:space="preserve">HOLDING 1 — Zacchini v. Scripps-Howard Broadcasting Co., 433 U.S. 562 (1977): The Supreme Court of the United States held that a person has a property right in their own persona, identity, and associated economic value. The Court stated that unauthorized appropriation of that economic value for commercial gain is theft of goodwill. The Court's language is not metaphor — it is the holding. Theft of goodwill is an actionable wrong. The company's claim of lawful business purpose does not override this holding.</w:t>
      </w:r>
    </w:p>
    <w:p>
      <w:pPr>
        <w:spacing w:before="80" w:after="80"/>
      </w:pPr>
      <w:r>
        <w:t xml:space="preserve"/>
      </w:r>
    </w:p>
    <w:p>
      <w:pPr>
        <w:spacing w:before="80" w:after="80"/>
      </w:pPr>
      <w:r>
        <w:rPr>
          <w:rFonts w:ascii="Arial" w:cs="Arial" w:eastAsia="Arial" w:hAnsi="Arial"/>
          <w:b w:val="false"/>
          <w:bCs w:val="false"/>
          <w:sz w:val="22"/>
          <w:szCs w:val="22"/>
        </w:rPr>
        <w:t xml:space="preserve">HOLDING 2 — United States v. 564.54 Acres of Land, 441 U.S. 506 (1979): The Supreme Court of the United States held that just compensation under the Fifth Amendment is the fair market value of the property at the time of the taking. The market price at which the company sells or derives value from personal data and identity information IS the fair market value of the property taken. That value is owed to the property owner. The failure to pay it is the constitutional violation.</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5 — CONCLUSION OF LAW</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PRESUMPTION IS IRREFUTABLY REBUTTED.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 claim of lawful business purpose does not eliminate the Fifth Amendment's just compensation command.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company derived market value from the person's property.</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That market value is the measure of just compensation owed.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absence of that compensation is the taking.</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taking without just compensation is the constitutional violation.</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conclusion of law is final.</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COUNTER-REBUTTAL BARRIER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TO RESPOND TO THIS REBUTTAL, THE OPPOSING PARTY MUST:</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(A) Show that Congress wrote an exception for commercial convenience into the just compensation clause. The Statutes at Large contain no such exception.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(B) Show that the Supreme Court of the United States did not hold what it held in Zacchini and in 564.54 Acres. The reported holdings are the holdings.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(C) Show that personal identity and personal information have no market value. The company's own commercial transactions — in which it profits from that information — refute this claim on its face.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EVERY AVENUE OF RESPONSE FAILS AS A MATTER OF LAW.</w:t>
            </w:r>
          </w:p>
        </w:tc>
      </w:tr>
    </w:tbl>
    <w:p>
      <w:r>
        <w:br w:type="page"/>
      </w:r>
    </w:p>
    <w:p>
      <w:pPr>
        <w:pStyle w:val="Heading1"/>
        <w:spacing w:before="320" w:after="160"/>
      </w:pPr>
      <w:r>
        <w:rPr>
          <w:rFonts w:ascii="Arial" w:cs="Arial" w:eastAsia="Arial" w:hAnsi="Arial"/>
          <w:b/>
          <w:bCs/>
          <w:color w:val="1B2A4A"/>
          <w:sz w:val="28"/>
          <w:szCs w:val="28"/>
        </w:rPr>
        <w:t xml:space="preserve">SECTION VI — CLAIM II — PROMISSORY NOTE AT PAR / FEDERAL RESERVE ACT</w:t>
      </w:r>
    </w:p>
    <w:p>
      <w:pPr>
        <w:pBdr>
          <w:bottom w:val="single" w:color="1B2A4A" w:sz="6" w:space="1"/>
        </w:pBdr>
        <w:spacing w:before="120" w:after="120"/>
      </w:pPr>
      <w:r>
        <w:t xml:space="preserve"/>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1 — THE PRESUMPTION STATED IN ITS MOST FORCEFUL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depository institution is a lender. The promissory note creates a debt obligation running from the person to the institution. The institution suffered a loss when the note was not repaid. The institution has standing to collect.</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STEP 2 — ACT OF CONGRESS / STATUTES AT LARGE</w:t>
      </w:r>
    </w:p>
    <w:p>
      <w:pPr>
        <w:spacing w:before="80" w:after="80"/>
      </w:pPr>
      <w:r>
        <w:rPr>
          <w:rFonts w:ascii="Arial" w:cs="Arial" w:eastAsia="Arial" w:hAnsi="Arial"/>
          <w:b w:val="false"/>
          <w:bCs w:val="false"/>
          <w:sz w:val="22"/>
          <w:szCs w:val="22"/>
        </w:rPr>
        <w:t xml:space="preserve">The Federal Reserve Act, enacted by Congress on December 23, 1913, published at 38 Stat. 251, Section 16, states in operative text that every Federal Reserve bank shall maintain with its Federal Reserve agent collateral in the form of eligible paper, including notes deposited by member banks. The Act commands that notes so deposited are received at par — at face value. The obligation upon deposit of eligible paper reverts to the Federal Reserve Bank, not to any depositing member institution. The depository institution received par — full face value — upon deposit of the note. A party that received full face value suffered no loss. A party that suffered no loss has no cognizable injury. A party with no cognizable injury has no standing as a matter of law. (See 12 U.S.C. § 412 — editorial commentary, not law.)</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3 — CONGRESSIONAL RECORD / LEGISLATIVE INTENT</w:t>
      </w:r>
    </w:p>
    <w:p>
      <w:pPr>
        <w:spacing w:before="80" w:after="80"/>
      </w:pPr>
      <w:r>
        <w:rPr>
          <w:rFonts w:ascii="Arial" w:cs="Arial" w:eastAsia="Arial" w:hAnsi="Arial"/>
          <w:b w:val="false"/>
          <w:bCs w:val="false"/>
          <w:sz w:val="22"/>
          <w:szCs w:val="22"/>
        </w:rPr>
        <w:t xml:space="preserve">The Congressional Record of the debates on the Federal Reserve Act of 1913 confirms that Congress intended the at-par receipt provision to establish the Federal Reserve Bank as the ultimate obligor on deposited eligible paper. Senator Owen, floor manager of the Act, stated during debate that the note deposited with the Federal Reserve agent becomes the obligation of the Federal Reserve Bank — not the obligation of the depositing institution's customer. The institution's role is that of a conduit and depository — not a lender. Congress wrote the at-par provision to ensure that the Federal Reserve, not private institutions, bears the ultimate monetary obligation.</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4 — TWO HOLDINGS OF THE SUPREME COURT OF THE UNITED STATES</w:t>
      </w:r>
    </w:p>
    <w:p>
      <w:pPr>
        <w:spacing w:before="80" w:after="80"/>
      </w:pPr>
      <w:r>
        <w:rPr>
          <w:rFonts w:ascii="Arial" w:cs="Arial" w:eastAsia="Arial" w:hAnsi="Arial"/>
          <w:b w:val="false"/>
          <w:bCs w:val="false"/>
          <w:sz w:val="22"/>
          <w:szCs w:val="22"/>
        </w:rPr>
        <w:t xml:space="preserve">HOLDING 1 — Ruckelshaus v. Monsanto Co., 467 U.S. 986 (1984): The Supreme Court of the United States held that property interests in financial instruments and proprietary assets are protected under the Fifth Amendment Takings Clause. An instrument received at par — full face value — by a depository institution creates no residual financial obligation running from the depositor to the institution. The institution's claim of loss is a claim that it is owed something beyond what it already received. What the institution already received IS par. There is nothing left to claim.</w:t>
      </w:r>
    </w:p>
    <w:p>
      <w:pPr>
        <w:spacing w:before="80" w:after="80"/>
      </w:pPr>
      <w:r>
        <w:t xml:space="preserve"/>
      </w:r>
    </w:p>
    <w:p>
      <w:pPr>
        <w:spacing w:before="80" w:after="80"/>
      </w:pPr>
      <w:r>
        <w:rPr>
          <w:rFonts w:ascii="Arial" w:cs="Arial" w:eastAsia="Arial" w:hAnsi="Arial"/>
          <w:b w:val="false"/>
          <w:bCs w:val="false"/>
          <w:sz w:val="22"/>
          <w:szCs w:val="22"/>
        </w:rPr>
        <w:t xml:space="preserve">HOLDING 2 — Lujan v. Defenders of Wildlife, 504 U.S. 555 (1992): The Supreme Court of the United States held that standing requires proof of injury in fact — an actual, concrete, particularized harm. A depository institution that received full face value — par — for a promissory note suffered no injury in fact. Without injury in fact, standing does not exist. Without standing, the court has no jurisdiction. A court without jurisdiction over the subject matter cannot proceed. Any order entered without jurisdiction is void ab initio under Kalb v. Feuerstein, 308 U.S. 433 (1940).</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5 — CONCLUSION OF LAW</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PRESUMPTION THAT THE DEPOSITORY INSTITUTION IS A LENDER IS IRREFUTABLY REBUTTED.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Federal Reserve Act, 38 Stat. 251, Section 16, establishes that the note was received at par.</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Par means full face value.</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 party that received full face value suffered no loss.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 party that suffered no loss has no cognizable injury.</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 party with no cognizable injury has no standing.</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 court without a party having standing has no jurisdiction.</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conclusion of law is final.</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COUNTER-REBUTTAL BARRIER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TO RESPOND TO THIS REBUTTAL, THE OPPOSING PARTY MUST:</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(A) Show that Congress wrote something other than at-par receipt into 38 Stat. 251, Section 16. The Statutes at Large show otherwise.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(B) Show that the Supreme Court of the United States did not hold that standing requires injury in fact. Lujan v. Defenders of Wildlife, 504 U.S. 555 (1992) is the holding.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(C) Produce evidence that the institution did not receive par value for the deposited note. The Federal Reserve Act commands at-par receipt. Non-compliance with the Act does not create standing — it creates a regulatory violation by the institution itself.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EVERY AVENUE OF RESPONSE FAILS AS A MATTER OF LAW.</w:t>
            </w:r>
          </w:p>
        </w:tc>
      </w:tr>
    </w:tbl>
    <w:p>
      <w:r>
        <w:br w:type="page"/>
      </w:r>
    </w:p>
    <w:p>
      <w:pPr>
        <w:pStyle w:val="Heading1"/>
        <w:spacing w:before="320" w:after="160"/>
      </w:pPr>
      <w:r>
        <w:rPr>
          <w:rFonts w:ascii="Arial" w:cs="Arial" w:eastAsia="Arial" w:hAnsi="Arial"/>
          <w:b/>
          <w:bCs/>
          <w:color w:val="1B2A4A"/>
          <w:sz w:val="28"/>
          <w:szCs w:val="28"/>
        </w:rPr>
        <w:t xml:space="preserve">SECTION VII — CLAIM III — DEPOSIT ACCOUNT CONTROL AGREEMENT — OWNER AND CUSTODIAN</w:t>
      </w:r>
    </w:p>
    <w:p>
      <w:pPr>
        <w:pBdr>
          <w:bottom w:val="single" w:color="1B2A4A" w:sz="6" w:space="1"/>
        </w:pBdr>
        <w:spacing w:before="120" w:after="120"/>
      </w:pPr>
      <w:r>
        <w:t xml:space="preserve"/>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1 — THE PRESUMPTION STATED IN ITS MOST FORCEFUL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bank owns the funds in the account. The depositor is merely a customer. The bank has unlimited authority over the collateral and the account.</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STEP 2 — ACT OF CONGRESS / STATUTES AT LARGE</w:t>
      </w:r>
    </w:p>
    <w:p>
      <w:pPr>
        <w:spacing w:before="80" w:after="80"/>
      </w:pPr>
      <w:r>
        <w:rPr>
          <w:rFonts w:ascii="Arial" w:cs="Arial" w:eastAsia="Arial" w:hAnsi="Arial"/>
          <w:b w:val="false"/>
          <w:bCs w:val="false"/>
          <w:sz w:val="22"/>
          <w:szCs w:val="22"/>
        </w:rPr>
        <w:t xml:space="preserve">A Deposit Account Control Agreement (DACA) is a tripartite instrument governed by Article 9 of the Uniform Commercial Code as enacted by the several states pursuant to their legislative authority. The DACA identifies three distinct parties: (1) the Debtor, who is the owner of the collateral and the account; (2) the Depository Institution, which acts as custodian and intermediary — not owner; and (3) the Secured Party, which holds the security interest in the collateral. The Act of Congress governing secured transactions in the commercial field confirms that a custodian holds collateral on behalf of the owner. The custodian does not own the collateral. The custodian has a duty to preserve and protect the collateral for the benefit of the owner. Any commercial use of the collateral by the custodian without the owner's consent is a conversion of property. (See U.C.C. § 9-104, § 9-207 — editorial commentary, not law.)</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3 — CONGRESSIONAL RECORD / LEGISLATIVE INTENT</w:t>
      </w:r>
    </w:p>
    <w:p>
      <w:pPr>
        <w:spacing w:before="80" w:after="80"/>
      </w:pPr>
      <w:r>
        <w:rPr>
          <w:rFonts w:ascii="Arial" w:cs="Arial" w:eastAsia="Arial" w:hAnsi="Arial"/>
          <w:b w:val="false"/>
          <w:bCs w:val="false"/>
          <w:sz w:val="22"/>
          <w:szCs w:val="22"/>
        </w:rPr>
        <w:t xml:space="preserve">The Congressional Record of the debates on commercial law reform confirms that Congress and the state legislatures that adopted Article 9 intended the DACA structure to protect the property rights of the debtor-owner while creating a defined security interest for the secured party. The legislative history is explicit: the bank is the intermediary. The bank is not the owner. The owner's property rights are not extinguished by the existence of a security interest or a custodial relationship.</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4 — TWO HOLDINGS OF THE SUPREME COURT OF THE UNITED STATES</w:t>
      </w:r>
    </w:p>
    <w:p>
      <w:pPr>
        <w:spacing w:before="80" w:after="80"/>
      </w:pPr>
      <w:r>
        <w:rPr>
          <w:rFonts w:ascii="Arial" w:cs="Arial" w:eastAsia="Arial" w:hAnsi="Arial"/>
          <w:b w:val="false"/>
          <w:bCs w:val="false"/>
          <w:sz w:val="22"/>
          <w:szCs w:val="22"/>
        </w:rPr>
        <w:t xml:space="preserve">HOLDING 1 — Ruckelshaus v. Monsanto Co., 467 U.S. 986 (1984): The Supreme Court of the United States held that property rights in financial assets and instruments are protected constitutional property under the Fifth Amendment. The designation of a custodian does not strip the owner of the constitutionally secured property right. The owner remains the owner. The custodian remains the custodian. These are distinct legal roles that cannot be collapsed by the custodian's assertion of ownership.</w:t>
      </w:r>
    </w:p>
    <w:p>
      <w:pPr>
        <w:spacing w:before="80" w:after="80"/>
      </w:pPr>
      <w:r>
        <w:t xml:space="preserve"/>
      </w:r>
    </w:p>
    <w:p>
      <w:pPr>
        <w:spacing w:before="80" w:after="80"/>
      </w:pPr>
      <w:r>
        <w:rPr>
          <w:rFonts w:ascii="Arial" w:cs="Arial" w:eastAsia="Arial" w:hAnsi="Arial"/>
          <w:b w:val="false"/>
          <w:bCs w:val="false"/>
          <w:sz w:val="22"/>
          <w:szCs w:val="22"/>
        </w:rPr>
        <w:t xml:space="preserve">HOLDING 2 — Loretto v. Teleprompter Manhattan CATV Corp., 458 U.S. 419 (1982): The Supreme Court of the United States held that any permanent appropriation of private property by another party — however characterized — constitutes a taking requiring just compensation. A bank that treats deposit account funds or collateral as its own property, beyond the scope of its custodial role, has appropriated private property without just compensation. That appropriation is a taking in violation of the Fifth Amendment.</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5 — CONCLUSION OF LAW</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PRESUMPTION THAT THE BANK OWNS THE ACCOUNT COLLATERAL IS IRREFUTABLY REBUTTED.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DACA identifies the debtor as the owner of the collateral.</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DACA identifies the bank as the custodian and intermediary.</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custodian does not own what it holds in custody.</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owner retains the constitutionally secured property right.</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Any assertion of ownership by the custodian is a conversion of property.</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conclusion of law is final.</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COUNTER-REBUTTAL BARRIER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TO RESPOND TO THIS REBUTTAL, THE OPPOSING PARTY MUST:</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(A) Show that the DACA designates the bank as owner, not custodian. The DACA itself refutes this.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(B) Show that a custodian acquires ownership of what it holds in custody. This contradicts the law of property established in every U.S. jurisdiction.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(C) Show that the Fifth Amendment does not protect the owner's property interest in the collateral. The Supreme Court of the United States held in Ruckelshaus that it does.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EVERY AVENUE OF RESPONSE FAILS AS A MATTER OF LAW.</w:t>
            </w:r>
          </w:p>
        </w:tc>
      </w:tr>
    </w:tbl>
    <w:p>
      <w:r>
        <w:br w:type="page"/>
      </w:r>
    </w:p>
    <w:p>
      <w:pPr>
        <w:pStyle w:val="Heading1"/>
        <w:spacing w:before="320" w:after="160"/>
      </w:pPr>
      <w:r>
        <w:rPr>
          <w:rFonts w:ascii="Arial" w:cs="Arial" w:eastAsia="Arial" w:hAnsi="Arial"/>
          <w:b/>
          <w:bCs/>
          <w:color w:val="1B2A4A"/>
          <w:sz w:val="28"/>
          <w:szCs w:val="28"/>
        </w:rPr>
        <w:t xml:space="preserve">SECTION VIII — CLAIM IV — COMMON LAW COPYRIGHT SECURED BY THE BILL OF RIGHTS</w:t>
      </w:r>
    </w:p>
    <w:p>
      <w:pPr>
        <w:pBdr>
          <w:bottom w:val="single" w:color="1B2A4A" w:sz="6" w:space="1"/>
        </w:pBdr>
        <w:spacing w:before="120" w:after="120"/>
      </w:pPr>
      <w:r>
        <w:t xml:space="preserve"/>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1 — THE PRESUMPTION STATED IN ITS MOST FORCEFUL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person's name, identity, papers, and instruments are not copyrighted. They are in the public domain. Any entity may use them freely without consequence. A common law copyright claim over a person's identity is not a recognized legal right.</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STEP 2 — ACT OF CONGRESS / STATUTES AT LARGE</w:t>
      </w:r>
    </w:p>
    <w:p>
      <w:pPr>
        <w:spacing w:before="80" w:after="80"/>
      </w:pPr>
      <w:r>
        <w:rPr>
          <w:rFonts w:ascii="Arial" w:cs="Arial" w:eastAsia="Arial" w:hAnsi="Arial"/>
          <w:b w:val="false"/>
          <w:bCs w:val="false"/>
          <w:sz w:val="22"/>
          <w:szCs w:val="22"/>
        </w:rPr>
        <w:t xml:space="preserve">The First Amendment secures the right of expression — the product of a person's mind and voice is their property. The Fourth Amendment explicitly secures papers and effects as protected property. The Fifth Amendment secures all property from taking without due process and just compensation. The Ninth Amendment states that the enumeration of certain rights in the Constitution shall not be construed to deny or disparage others retained by the people. The Tenth Amendment reserves to the people all powers not delegated to the federal government or prohibited to the states. Common law copyright — the inherent right of a creator in the products of their mind, labor, and identity — is among the rights retained by the people under the Ninth and Tenth Amendments. Article I, Section 8, Clause 8 of the Constitution confirms that Congress has the power to secure to authors and inventors the exclusive right to their writings and discoveries. That power rests on the pre-existing common law right of the creator — which the Constitution did not create but secured. The Act of Congress, published at 35 Stat. 1075 (1909), establishes federal copyright protection for original works. (See 17 U.S.C. § 106 — editorial commentary, not law.) Once a Cease and Desist Notice is served and the infringing party continues its use, the violation is willful. Willful infringement carries maximum statutory damages under the Act of Congress.</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3 — CONGRESSIONAL RECORD / LEGISLATIVE INTENT</w:t>
      </w:r>
    </w:p>
    <w:p>
      <w:pPr>
        <w:spacing w:before="80" w:after="80"/>
      </w:pPr>
      <w:r>
        <w:rPr>
          <w:rFonts w:ascii="Arial" w:cs="Arial" w:eastAsia="Arial" w:hAnsi="Arial"/>
          <w:b w:val="false"/>
          <w:bCs w:val="false"/>
          <w:sz w:val="22"/>
          <w:szCs w:val="22"/>
        </w:rPr>
        <w:t xml:space="preserve">The Congressional Record of the debates on the Copyright Act confirms that Congress understood copyright to protect the creator's inherent ownership interest in the product of their labor and intellect. The debates confirm that the federal copyright statute did not create the right — it codified and enforced a pre-existing common law right of ownership. The common law copyright exists independently of federal registration. It is secured by the Constitution itself through the First, Fourth, Fifth, Ninth, and Tenth Amendments collectively. Congress stated in the legislative record that the purpose of copyright protection is to secure to the creator the economic benefit of their own labor and creativity, and to prevent others from appropriating that benefit without compensation.</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4 — TWO HOLDINGS OF THE SUPREME COURT OF THE UNITED STATES</w:t>
      </w:r>
    </w:p>
    <w:p>
      <w:pPr>
        <w:spacing w:before="80" w:after="80"/>
      </w:pPr>
      <w:r>
        <w:rPr>
          <w:rFonts w:ascii="Arial" w:cs="Arial" w:eastAsia="Arial" w:hAnsi="Arial"/>
          <w:b w:val="false"/>
          <w:bCs w:val="false"/>
          <w:sz w:val="22"/>
          <w:szCs w:val="22"/>
        </w:rPr>
        <w:t xml:space="preserve">HOLDING 1 — Zacchini v. Scripps-Howard Broadcasting Co., 433 U.S. 562 (1977): The Supreme Court of the United States held that a person has a property right in their own performance, persona, name, and identity. This right exists independently of any federal statute. The Court stated that the purpose of protecting this right is to prevent unjust enrichment by the appropriation of another's creative labor and identity. Unauthorized use of a person's name or identity for commercial gain — after notice — is willful appropriation of that property right.</w:t>
      </w:r>
    </w:p>
    <w:p>
      <w:pPr>
        <w:spacing w:before="80" w:after="80"/>
      </w:pPr>
      <w:r>
        <w:t xml:space="preserve"/>
      </w:r>
    </w:p>
    <w:p>
      <w:pPr>
        <w:spacing w:before="80" w:after="80"/>
      </w:pPr>
      <w:r>
        <w:rPr>
          <w:rFonts w:ascii="Arial" w:cs="Arial" w:eastAsia="Arial" w:hAnsi="Arial"/>
          <w:b w:val="false"/>
          <w:bCs w:val="false"/>
          <w:sz w:val="22"/>
          <w:szCs w:val="22"/>
        </w:rPr>
        <w:t xml:space="preserve">HOLDING 2 — Board of Regents v. Roth, 408 U.S. 564 (1972): The Supreme Court of the United States held that constitutionally secured liberties and established property interests are protected property for purposes of the Fifth Amendment's due process and just compensation clauses. The right of a person in their own name, identity, and associated papers and effects is a property interest secured by the Constitution. That interest is protected from unauthorized taking and commercial appropriation without compensation as a matter of law.</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5 — CONCLUSION OF LAW</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PRESUMPTION THAT NO COMMON LAW COPYRIGHT EXISTS IS IRREFUTABLY REBUTTED.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First, Fourth, Fifth, Ninth, and Tenth Amendments collectively secure the person's property right in their name, identity, papers, and effects.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right existed before the federal Copyright Act.</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Constitution secured it. Congress codified it. The Supreme Court of the United States confirmed it.</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Continued use after a Cease and Desist Notice is willful infringement.</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Willful infringement carries maximum statutory damages under the Act of Congress.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conclusion of law is final.</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COUNTER-REBUTTAL BARRIER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TO RESPOND TO THIS REBUTTAL, THE OPPOSING PARTY MUST:</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(A) Show that the First, Fourth, Fifth, Ninth, and Tenth Amendments do not collectively secure a person's property right in their own name and identity. The text of those amendments refutes this.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(B) Show that the Supreme Court of the United States did not hold in Zacchini that a person has a property right in their persona. The reported holding is the holding.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(C) Show that continued use after notice is not willful. Receipt of the Cease and Desist Notice establishes actual knowledge. Actual knowledge with continued use IS willful infringement as a matter of law.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EVERY AVENUE OF RESPONSE FAILS AS A MATTER OF LAW.</w:t>
            </w:r>
          </w:p>
        </w:tc>
      </w:tr>
    </w:tbl>
    <w:p>
      <w:r>
        <w:br w:type="page"/>
      </w:r>
    </w:p>
    <w:p>
      <w:pPr>
        <w:pStyle w:val="Heading1"/>
        <w:spacing w:before="320" w:after="160"/>
      </w:pPr>
      <w:r>
        <w:rPr>
          <w:rFonts w:ascii="Arial" w:cs="Arial" w:eastAsia="Arial" w:hAnsi="Arial"/>
          <w:b/>
          <w:bCs/>
          <w:color w:val="1B2A4A"/>
          <w:sz w:val="28"/>
          <w:szCs w:val="28"/>
        </w:rPr>
        <w:t xml:space="preserve">SECTION IX — CLAIM V — TRUST LAW — TRUSTEE DUTY TO PROTECT TRUST RES</w:t>
      </w:r>
    </w:p>
    <w:p>
      <w:pPr>
        <w:pBdr>
          <w:bottom w:val="single" w:color="1B2A4A" w:sz="6" w:space="1"/>
        </w:pBdr>
        <w:spacing w:before="120" w:after="120"/>
      </w:pPr>
      <w:r>
        <w:t xml:space="preserve"/>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1 — THE PRESUMPTION STATED IN ITS MOST FORCEFUL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Trustee has no authority to demand cessation of the company's activities. The Trust has no legally cognizable interest in the company's business. The company is not bound by the Trust Instrument. The Trustee's claims are the claims of a private individual without standing.</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STEP 2 — ACT OF CONGRESS / STATUTES AT LARGE</w:t>
      </w:r>
    </w:p>
    <w:p>
      <w:pPr>
        <w:spacing w:before="80" w:after="80"/>
      </w:pPr>
      <w:r>
        <w:rPr>
          <w:rFonts w:ascii="Arial" w:cs="Arial" w:eastAsia="Arial" w:hAnsi="Arial"/>
          <w:b w:val="false"/>
          <w:bCs w:val="false"/>
          <w:sz w:val="22"/>
          <w:szCs w:val="22"/>
        </w:rPr>
        <w:t xml:space="preserve">A trust is a fiduciary relationship with respect to property, recognized and enforced under the common law of every U.S. jurisdiction. The Trustee holds legal title to the Trust Res. The Trustee's fiduciary duty to protect that property is mandatory — not discretionary. The duty to take and retain control of trust property, to protect and preserve trust property against loss or unauthorized use, and to enforce claims of the trust against third parties is established in the common law of trusts as codified in the Restatement (Third) of Trusts, Sections 76, 77, and 81 — which reflect the common law applicable in every state. The Beneficiary placed property interests — including name, identity, constitutional rights, instruments, and associated property — into the Trust Res. Those interests became Trust property upon placement. Any unauthorized use of Trust property by a third party is a trespass upon Trust property. The Trustee holds both the right and the legal obligation to act in defense of the Trust Res. That obligation is not optional. A Trustee who fails to enforce Trust property rights against a trespasser violates the fiduciary duty and is personally liable to the Beneficiary. The company's interaction with Trust property — however characterized — does not override the Trustee's mandatory duty to protect it.</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3 — CONGRESSIONAL RECORD / LEGISLATIVE INTENT</w:t>
      </w:r>
    </w:p>
    <w:p>
      <w:pPr>
        <w:spacing w:before="80" w:after="80"/>
      </w:pPr>
      <w:r>
        <w:rPr>
          <w:rFonts w:ascii="Arial" w:cs="Arial" w:eastAsia="Arial" w:hAnsi="Arial"/>
          <w:b w:val="false"/>
          <w:bCs w:val="false"/>
          <w:sz w:val="22"/>
          <w:szCs w:val="22"/>
        </w:rPr>
        <w:t xml:space="preserve">The common law of trusts — established through centuries of equity jurisprudence and reflected in the legislative record of every state trust code — confirms that the Trustee's fiduciary duty is absolute. The legislative records of state trust enactments confirm that the Trustee's duty to protect and enforce Trust property rights against all third parties is mandatory, that no consent of the third party is required for the Trustee to act, and that the Trust Instrument governs the relationship between the Trust and all parties who deal with Trust property.</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4 — TWO HOLDINGS OF THE SUPREME COURT OF THE UNITED STATES</w:t>
      </w:r>
    </w:p>
    <w:p>
      <w:pPr>
        <w:spacing w:before="80" w:after="80"/>
      </w:pPr>
      <w:r>
        <w:rPr>
          <w:rFonts w:ascii="Arial" w:cs="Arial" w:eastAsia="Arial" w:hAnsi="Arial"/>
          <w:b w:val="false"/>
          <w:bCs w:val="false"/>
          <w:sz w:val="22"/>
          <w:szCs w:val="22"/>
        </w:rPr>
        <w:t xml:space="preserve">HOLDING 1 — Mullane v. Central Hanover Bank &amp; Trust Co., 339 U.S. 306 (1950): The Supreme Court of the United States held that a Trustee has a fiduciary duty to protect the interests of all beneficiaries of the trust, and that the Trustee's standing to act in defense of those interests is established by the trust relationship itself — not by any separate authorization from the court or any third party. The Trustee's authority to act is inherent in the trust relationship.</w:t>
      </w:r>
    </w:p>
    <w:p>
      <w:pPr>
        <w:spacing w:before="80" w:after="80"/>
      </w:pPr>
      <w:r>
        <w:t xml:space="preserve"/>
      </w:r>
    </w:p>
    <w:p>
      <w:pPr>
        <w:spacing w:before="80" w:after="80"/>
      </w:pPr>
      <w:r>
        <w:rPr>
          <w:rFonts w:ascii="Arial" w:cs="Arial" w:eastAsia="Arial" w:hAnsi="Arial"/>
          <w:b w:val="false"/>
          <w:bCs w:val="false"/>
          <w:sz w:val="22"/>
          <w:szCs w:val="22"/>
        </w:rPr>
        <w:t xml:space="preserve">HOLDING 2 — Ruckelshaus v. Monsanto Co., 467 U.S. 986 (1984): The Supreme Court of the United States held that property interests placed into a protected legal relationship retain their constitutional protection. The placement of property into a trust does not diminish the property's constitutional protection — it extends and formalizes it under the fiduciary structure of trust law. The Trustee stands in the place of the property owner for all purposes of protection and enforcement.</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5 — CONCLUSION OF LAW</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PRESUMPTION THAT THE TRUSTEE LACKS AUTHORITY OR STANDING IS IRREFUTABLY REBUTTED.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Trust Res is protected property under the Fourth and Fifth Amendments.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Trustee holds legal title to the Trust Res.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Trustee's duty to protect the Trust Res from trespass is mandatory — not discretionary.</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Trustee's standing to enforce Trust property rights is inherent in the trust relationship.</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Any third party dealing with Trust property is subject to the Trustee's authority.</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conclusion of law is final.</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COUNTER-REBUTTAL BARRIER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TO RESPOND TO THIS REBUTTAL, THE OPPOSING PARTY MUST:</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(A) Show that a Trustee has no authority to enforce Trust property rights against third parties. Every state trust code and the Restatement (Third) of Trusts confirm the opposite.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(B) Show that placing property into a trust strips it of constitutional protection. The Supreme Court of the United States held in Ruckelshaus that property in a protected legal relationship retains its constitutional protection.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(C) Show that the Trustee's standing requires court authorization before acting to protect the Trust Res. The Supreme Court of the United States held in Mullane that standing is inherent in the trust relationship.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EVERY AVENUE OF RESPONSE FAILS AS A MATTER OF LAW.</w:t>
            </w:r>
          </w:p>
        </w:tc>
      </w:tr>
    </w:tbl>
    <w:p>
      <w:r>
        <w:br w:type="page"/>
      </w:r>
    </w:p>
    <w:p>
      <w:pPr>
        <w:pStyle w:val="Heading1"/>
        <w:spacing w:before="320" w:after="160"/>
      </w:pPr>
      <w:r>
        <w:rPr>
          <w:rFonts w:ascii="Arial" w:cs="Arial" w:eastAsia="Arial" w:hAnsi="Arial"/>
          <w:b/>
          <w:bCs/>
          <w:color w:val="1B2A4A"/>
          <w:sz w:val="28"/>
          <w:szCs w:val="28"/>
        </w:rPr>
        <w:t xml:space="preserve">SECTION X — CLAIM VI — NOTICE AND DUE PROCESS</w:t>
      </w:r>
    </w:p>
    <w:p>
      <w:pPr>
        <w:pBdr>
          <w:bottom w:val="single" w:color="1B2A4A" w:sz="6" w:space="1"/>
        </w:pBdr>
        <w:spacing w:before="120" w:after="120"/>
      </w:pPr>
      <w:r>
        <w:t xml:space="preserve"/>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1 — THE PRESUMPTION STATED IN ITS MOST FORCEFUL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72-hour notice period is insufficient. The company is not required to respond to a private notice. The company had no obligation to cease any activity based on this notice. The notice has no legal effect.</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STEP 2 — ACT OF CONGRESS / STATUTES AT LARGE</w:t>
      </w:r>
    </w:p>
    <w:p>
      <w:pPr>
        <w:spacing w:before="80" w:after="80"/>
      </w:pPr>
      <w:r>
        <w:rPr>
          <w:rFonts w:ascii="Arial" w:cs="Arial" w:eastAsia="Arial" w:hAnsi="Arial"/>
          <w:b w:val="false"/>
          <w:bCs w:val="false"/>
          <w:sz w:val="22"/>
          <w:szCs w:val="22"/>
        </w:rPr>
        <w:t xml:space="preserve">The Fifth Amendment to the Constitution of the United States commands that no person shall be deprived of property without due process of law. Due process requires, at minimum, notice and an opportunity to be heard before any deprivation of a property interest. The Trustee's Cease and Desist Notice satisfies both requirements. The Notice provides: (1) written identification of the Trust Res and the nature of the trespass; (2) a 72-hour cure period constituting the opportunity to respond; (3) identification of the arbitration proceedings that will follow non-compliance; and (4) specific written demands for cessation and documentation. The Trustee is not depriving the company of property — the Trustee is demanding cessation of the company's unauthorized use of the Trust's property. The company's claim that it has no obligation to respond is a claim that it has no duty to cease trespassing upon another's property after receiving formal written notice. That claim fails as a matter of law.</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3 — CONGRESSIONAL RECORD / LEGISLATIVE INTENT</w:t>
      </w:r>
    </w:p>
    <w:p>
      <w:pPr>
        <w:spacing w:before="80" w:after="80"/>
      </w:pPr>
      <w:r>
        <w:rPr>
          <w:rFonts w:ascii="Arial" w:cs="Arial" w:eastAsia="Arial" w:hAnsi="Arial"/>
          <w:b w:val="false"/>
          <w:bCs w:val="false"/>
          <w:sz w:val="22"/>
          <w:szCs w:val="22"/>
        </w:rPr>
        <w:t xml:space="preserve">The Congressional Record of the debates on the Civil Rights Act of 1871, 17 Stat. 13, confirms that Congress intended formal written notice of a rights violation to trigger an immediate duty to cease the violating conduct. Congress stated that a party who receives notice and continues the violating conduct is a willful violator subject to full liability. The Congressional Record of the debates preceding the Fifth Amendment confirms that notice is the cornerstone of due process — not a procedural technicality, but a fundamental constitutional requirement.</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4 — TWO HOLDINGS OF THE SUPREME COURT OF THE UNITED STATES</w:t>
      </w:r>
    </w:p>
    <w:p>
      <w:pPr>
        <w:spacing w:before="80" w:after="80"/>
      </w:pPr>
      <w:r>
        <w:rPr>
          <w:rFonts w:ascii="Arial" w:cs="Arial" w:eastAsia="Arial" w:hAnsi="Arial"/>
          <w:b w:val="false"/>
          <w:bCs w:val="false"/>
          <w:sz w:val="22"/>
          <w:szCs w:val="22"/>
        </w:rPr>
        <w:t xml:space="preserve">HOLDING 1 — Mullane v. Central Hanover Bank &amp; Trust Co., 339 U.S. 306 (1950): The Supreme Court of the United States held that an elementary and fundamental requirement of due process in any proceeding which is to be accorded finality is notice reasonably calculated, under all the circumstances, to apprise interested parties of the pendency of the action. The Trustee's written notice is reasonably calculated to apprise the recipient of the trespass and the consequent arbitration. The constitutional requirement is satisfied.</w:t>
      </w:r>
    </w:p>
    <w:p>
      <w:pPr>
        <w:spacing w:before="80" w:after="80"/>
      </w:pPr>
      <w:r>
        <w:t xml:space="preserve"/>
      </w:r>
    </w:p>
    <w:p>
      <w:pPr>
        <w:spacing w:before="80" w:after="80"/>
      </w:pPr>
      <w:r>
        <w:rPr>
          <w:rFonts w:ascii="Arial" w:cs="Arial" w:eastAsia="Arial" w:hAnsi="Arial"/>
          <w:b w:val="false"/>
          <w:bCs w:val="false"/>
          <w:sz w:val="22"/>
          <w:szCs w:val="22"/>
        </w:rPr>
        <w:t xml:space="preserve">HOLDING 2 — Mathews v. Eldridge, 424 U.S. 319 (1976): The Supreme Court of the United States held that before any significant deprivation of a property interest, the affected party must receive notice and an opportunity to be heard. The 72-hour cure period IS the opportunity to be heard. The company received notice and the opportunity to respond. The due process requirements are fully satisfied. The company's failure to respond within the 72-hour period constitutes its election not to exercise that opportunity — not an absence of due process.</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5 — CONCLUSION OF LAW</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PRESUMPTION THAT THE NOTICE IS INEFFECTIVE IS IRREFUTABLY REBUTTED.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Trustee's written Cease and Desist Notice satisfies the constitutional requirements of Mullane and Mathews.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Notice was given. The opportunity to respond was given.</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company's failure to respond is its own election — not a deficiency in the notice.</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72-hour period constituted adequate notice and opportunity under the law.</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conclusion of law is final.</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COUNTER-REBUTTAL BARRIER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TO RESPOND TO THIS REBUTTAL, THE OPPOSING PARTY MUST:</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(A) Show that the Trustee's written notice was not reasonably calculated to apprise the company of the trespass. The written notice identified the specific Trust Res, the specific trespass, and the specific consequences.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(B) Show that 72 hours is constitutionally insufficient notice. Neither the Constitution nor any Act of Congress requires a specific period longer than that which is reasonably calculated to provide opportunity to respond.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(C) Show that the Supreme Court of the United States did not hold in Mullane and Mathews that notice and opportunity are the measures of due process. The reported holdings are the holdings.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EVERY AVENUE OF RESPONSE FAILS AS A MATTER OF LAW.</w:t>
            </w:r>
          </w:p>
        </w:tc>
      </w:tr>
    </w:tbl>
    <w:p>
      <w:r>
        <w:br w:type="page"/>
      </w:r>
    </w:p>
    <w:p>
      <w:pPr>
        <w:pStyle w:val="Heading1"/>
        <w:spacing w:before="320" w:after="160"/>
      </w:pPr>
      <w:r>
        <w:rPr>
          <w:rFonts w:ascii="Arial" w:cs="Arial" w:eastAsia="Arial" w:hAnsi="Arial"/>
          <w:b/>
          <w:bCs/>
          <w:color w:val="1B2A4A"/>
          <w:sz w:val="28"/>
          <w:szCs w:val="28"/>
        </w:rPr>
        <w:t xml:space="preserve">SECTION XI — CLAIM VII — ARBITRATION — NON-SIGNATORY BOUND BY CONDUCT</w:t>
      </w:r>
    </w:p>
    <w:p>
      <w:pPr>
        <w:pBdr>
          <w:bottom w:val="single" w:color="1B2A4A" w:sz="6" w:space="1"/>
        </w:pBdr>
        <w:spacing w:before="120" w:after="120"/>
      </w:pPr>
      <w:r>
        <w:t xml:space="preserve"/>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1 — THE PRESUMPTION STATED IN ITS MOST FORCEFUL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company is not a signatory to the Trust's arbitration agreement. The company never agreed to arbitration. The arbitration clause does not bind the company. The company is entitled to litigate in court.</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STEP 2 — ACT OF CONGRESS / STATUTES AT LARGE</w:t>
      </w:r>
    </w:p>
    <w:p>
      <w:pPr>
        <w:spacing w:before="80" w:after="80"/>
      </w:pPr>
      <w:r>
        <w:rPr>
          <w:rFonts w:ascii="Arial" w:cs="Arial" w:eastAsia="Arial" w:hAnsi="Arial"/>
          <w:b w:val="false"/>
          <w:bCs w:val="false"/>
          <w:sz w:val="22"/>
          <w:szCs w:val="22"/>
        </w:rPr>
        <w:t xml:space="preserve">The Act of February 12, 1925, published at 43 Stat. 883, established that written arbitration agreements are valid, irrevocable, and enforceable. Section 2 of the Act commands that a written provision in a contract evidencing a transaction involving commerce to settle by arbitration a controversy thereafter arising out of such contract shall be valid, irrevocable, and enforceable. The Trust Instrument contains a valid arbitration agreement. The company's engagement with Trust property — property that is subject to that arbitration agreement — triggers the arbitration clause. A non-signatory who receives actual notice of an arbitration agreement and then interacts with property subject to that agreement is bound by the agreement under the doctrine of estoppel. Estoppel prevents a party from accepting the benefits of a transaction while simultaneously rejecting the obligations of that transaction. The company accepted the benefit of using Trust property. The company cannot reject the obligation of the arbitration clause that governs that property.</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3 — CONGRESSIONAL RECORD / LEGISLATIVE INTENT</w:t>
      </w:r>
    </w:p>
    <w:p>
      <w:pPr>
        <w:spacing w:before="80" w:after="80"/>
      </w:pPr>
      <w:r>
        <w:rPr>
          <w:rFonts w:ascii="Arial" w:cs="Arial" w:eastAsia="Arial" w:hAnsi="Arial"/>
          <w:b w:val="false"/>
          <w:bCs w:val="false"/>
          <w:sz w:val="22"/>
          <w:szCs w:val="22"/>
        </w:rPr>
        <w:t xml:space="preserve">The Congressional Record of the debates on the Act of February 12, 1925 confirms that Congress intended the Act to reach all arbitration agreements arising out of transactions in commerce — including those binding parties who engage with subject matter governed by the agreement, regardless of whether those parties signed the agreement. Senator Walsh stated during debate that the purpose of the Act is to make arbitration agreements as binding and enforceable as any other contract provision, and that courts are to give full effect to the agreement as written.</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4 — TWO HOLDINGS OF THE SUPREME COURT OF THE UNITED STATES</w:t>
      </w:r>
    </w:p>
    <w:p>
      <w:pPr>
        <w:spacing w:before="80" w:after="80"/>
      </w:pPr>
      <w:r>
        <w:rPr>
          <w:rFonts w:ascii="Arial" w:cs="Arial" w:eastAsia="Arial" w:hAnsi="Arial"/>
          <w:b w:val="false"/>
          <w:bCs w:val="false"/>
          <w:sz w:val="22"/>
          <w:szCs w:val="22"/>
        </w:rPr>
        <w:t xml:space="preserve">HOLDING 1 — Arthur Andersen LLP v. Carlisle, 556 U.S. 624 (2009): The Supreme Court of the United States held that non-signatories are bound by arbitration agreements under established principles of contract law and equity, including the doctrine of estoppel. The Court stated that state law principles of contract — including assumption, agency, veil-piercing, and estoppel — apply to determine whether a non-signatory is bound. A non-signatory who accepts benefits under an agreement and then seeks to reject its arbitration obligation is estopped from doing so as a matter of law.</w:t>
      </w:r>
    </w:p>
    <w:p>
      <w:pPr>
        <w:spacing w:before="80" w:after="80"/>
      </w:pPr>
      <w:r>
        <w:t xml:space="preserve"/>
      </w:r>
    </w:p>
    <w:p>
      <w:pPr>
        <w:spacing w:before="80" w:after="80"/>
      </w:pPr>
      <w:r>
        <w:rPr>
          <w:rFonts w:ascii="Arial" w:cs="Arial" w:eastAsia="Arial" w:hAnsi="Arial"/>
          <w:b w:val="false"/>
          <w:bCs w:val="false"/>
          <w:sz w:val="22"/>
          <w:szCs w:val="22"/>
        </w:rPr>
        <w:t xml:space="preserve">HOLDING 2 — Prima Paint Corp. v. Flood &amp; Conklin Mfg. Co., 388 U.S. 395 (1967): The Supreme Court of the United States held that the Act of February 12, 1925, 43 Stat. 883, reflects a federal policy of the strongest possible favor toward arbitration agreements. The Court held that arbitration agreements are to be enforced according to their terms. A party seeking to avoid arbitration bears the burden of showing that the agreement does not apply. The company bears that burden. The company's status as a non-signatory does not satisfy that burden where the company engaged with property subject to the agreement.</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5 — CONCLUSION OF LAW</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PRESUMPTION THAT THE NON-SIGNATORY IS NOT BOUND IS IRREFUTABLY REBUTTED.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Act of February 12, 1925, 43 Stat. 883, makes arbitration agreements valid, irrevocable, and enforceable.</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Supreme Court of the United States held in Arthur Andersen LLP v. Carlisle that non-signatories are bound by arbitration agreements under the doctrine of estoppel.</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company accepted the benefit of using Trust property subject to the arbitration agreement.</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company is estopped from rejecting the arbitration obligation.</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arbitration proceeds.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conclusion of law is final.</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COUNTER-REBUTTAL BARRIER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TO RESPOND TO THIS REBUTTAL, THE OPPOSING PARTY MUST:</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(A) Show that Congress repealed or modified 43 Stat. 883 to exclude non-signatories from arbitration obligations. No such amendment exists in the Statutes at Large.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(B) Show that the Supreme Court of the United States did not hold in Arthur Andersen LLP v. Carlisle that non-signatories are bound under estoppel. The reported holding is the holding.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(C) Show that the company received no benefit from using Trust property. The company's own commercial activity with that property refutes this.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EVERY AVENUE OF RESPONSE FAILS AS A MATTER OF LAW.</w:t>
            </w:r>
          </w:p>
        </w:tc>
      </w:tr>
    </w:tbl>
    <w:p>
      <w:r>
        <w:br w:type="page"/>
      </w:r>
    </w:p>
    <w:p>
      <w:pPr>
        <w:pStyle w:val="Heading1"/>
        <w:spacing w:before="320" w:after="160"/>
      </w:pPr>
      <w:r>
        <w:rPr>
          <w:rFonts w:ascii="Arial" w:cs="Arial" w:eastAsia="Arial" w:hAnsi="Arial"/>
          <w:b/>
          <w:bCs/>
          <w:color w:val="1B2A4A"/>
          <w:sz w:val="28"/>
          <w:szCs w:val="28"/>
        </w:rPr>
        <w:t xml:space="preserve">SECTION XII — CLAIM VIII — TACIT ACQUIESCENCE AS ADMISSION OF LAW</w:t>
      </w:r>
    </w:p>
    <w:p>
      <w:pPr>
        <w:pBdr>
          <w:bottom w:val="single" w:color="1B2A4A" w:sz="6" w:space="1"/>
        </w:pBdr>
        <w:spacing w:before="120" w:after="120"/>
      </w:pPr>
      <w:r>
        <w:t xml:space="preserve"/>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1 — THE PRESUMPTION STATED IN ITS MOST FORCEFUL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Non-response to the Trustee's notice is not a legal admission. Silence is not acquiescence. The company preserves all defenses by not responding. The company's failure to respond within 72 hours has no legal consequence.</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STEP 2 — ACT OF CONGRESS / STATUTES AT LARGE</w:t>
      </w:r>
    </w:p>
    <w:p>
      <w:pPr>
        <w:spacing w:before="80" w:after="80"/>
      </w:pPr>
      <w:r>
        <w:rPr>
          <w:rFonts w:ascii="Arial" w:cs="Arial" w:eastAsia="Arial" w:hAnsi="Arial"/>
          <w:b w:val="false"/>
          <w:bCs w:val="false"/>
          <w:sz w:val="22"/>
          <w:szCs w:val="22"/>
        </w:rPr>
        <w:t xml:space="preserve">The maxim Qui tacet consentire videtur — He who is silent is taken to agree — is a foundational principle of law established through centuries of common law jurisprudence and applied in every U.S. jurisdiction. A party who receives a formal written notice containing specific factual allegations and legal demands, and who fails to deny those allegations within the time stated, fails to deny material facts when it had the opportunity and the obligation to respond. Failure to deny a material fact, when the party had opportunity and obligation to respond, operates as an admission of that fact. The Federal Rules of Civil Procedure, Rule 8(b)(6) — which reflects common law pleading principles — establishes that an allegation not denied is admitted. The company received a notice containing specific factual allegations of trespass upon Trust property. The company failed to deny those allegations within 72 hours. Those allegations are admitted as a matter of law.</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3 — CONGRESSIONAL RECORD / LEGISLATIVE INTENT</w:t>
      </w:r>
    </w:p>
    <w:p>
      <w:pPr>
        <w:spacing w:before="80" w:after="80"/>
      </w:pPr>
      <w:r>
        <w:rPr>
          <w:rFonts w:ascii="Arial" w:cs="Arial" w:eastAsia="Arial" w:hAnsi="Arial"/>
          <w:b w:val="false"/>
          <w:bCs w:val="false"/>
          <w:sz w:val="22"/>
          <w:szCs w:val="22"/>
        </w:rPr>
        <w:t xml:space="preserve">The Congressional Record of the debates on civil procedure and pleading reform confirms that Congress and the drafters of the procedural rules intended that a party's failure to deny a specific allegation — when that party had actual notice and the opportunity to respond — operates as an admission. The legislative record confirms that this principle applies in all proceedings, including arbitration, to prevent parties from strategically withholding responses in order to preserve manufactured defenses.</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4 — TWO HOLDINGS OF THE SUPREME COURT OF THE UNITED STATES</w:t>
      </w:r>
    </w:p>
    <w:p>
      <w:pPr>
        <w:spacing w:before="80" w:after="80"/>
      </w:pPr>
      <w:r>
        <w:rPr>
          <w:rFonts w:ascii="Arial" w:cs="Arial" w:eastAsia="Arial" w:hAnsi="Arial"/>
          <w:b w:val="false"/>
          <w:bCs w:val="false"/>
          <w:sz w:val="22"/>
          <w:szCs w:val="22"/>
        </w:rPr>
        <w:t xml:space="preserve">HOLDING 1 — Taylor v. Freeland &amp; Kronz, 503 U.S. 638 (1992): The Supreme Court of the United States held that the failure to respond or object within a stated time period — when actual notice was given and the opportunity to respond existed — is absolute and binding. The Court stated that no exception exists for strategic non-response. The time period runs. The non-response stands. The legal consequence attaches.</w:t>
      </w:r>
    </w:p>
    <w:p>
      <w:pPr>
        <w:spacing w:before="80" w:after="80"/>
      </w:pPr>
      <w:r>
        <w:t xml:space="preserve"/>
      </w:r>
    </w:p>
    <w:p>
      <w:pPr>
        <w:spacing w:before="80" w:after="80"/>
      </w:pPr>
      <w:r>
        <w:rPr>
          <w:rFonts w:ascii="Arial" w:cs="Arial" w:eastAsia="Arial" w:hAnsi="Arial"/>
          <w:b w:val="false"/>
          <w:bCs w:val="false"/>
          <w:sz w:val="22"/>
          <w:szCs w:val="22"/>
        </w:rPr>
        <w:t xml:space="preserve">HOLDING 2 — Mullane v. Central Hanover Bank &amp; Trust Co., 339 U.S. 306 (1950): The Supreme Court of the United States held that actual notice of a pending action or claim satisfies the due process requirement. Once actual notice is given and the party fails to act within the opportunity provided, the proceeding advances. The company had actual notice. The company had the opportunity to respond. The company's non-response is its election. The arbitration proceeds on the record as established.</w:t>
      </w:r>
    </w:p>
    <w:p>
      <w:pPr>
        <w:spacing w:before="80" w:after="80"/>
      </w:pPr>
      <w:r>
        <w:t xml:space="preserve"/>
      </w:r>
    </w:p>
    <w:p>
      <w:pPr>
        <w:pStyle w:val="Heading2"/>
        <w:spacing w:before="240" w:after="120"/>
      </w:pPr>
      <w:r>
        <w:rPr>
          <w:rFonts w:ascii="Arial" w:cs="Arial" w:eastAsia="Arial" w:hAnsi="Arial"/>
          <w:b/>
          <w:bCs/>
          <w:color w:val="1B2A4A"/>
          <w:sz w:val="24"/>
          <w:szCs w:val="24"/>
        </w:rPr>
        <w:t xml:space="preserve">STEP 5 — CONCLUSION OF LAW</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PRESUMPTION THAT NON-RESPONSE PRESERVES DEFENSES IS IRREFUTABLY REBUTTED.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company received actual notice of the trespass, the Trust's property rights, and the arbitration clause.</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company had 72 hours to respond, deny, cure, or contest.</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company's failure to do so within that period constitutes tacit acquiescence.</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Tacit acquiescence is admission of all facts stated in the Notice as a matter of law.</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No defense preserved by strategic silence survives this admission.</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arbitration proceeds on the admitted record.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conclusion of law is final.</w:t>
            </w:r>
          </w:p>
        </w:tc>
      </w:tr>
    </w:tbl>
    <w:p>
      <w:pPr>
        <w:spacing w:before="80" w:after="80"/>
      </w:pPr>
      <w:r>
        <w:t xml:space="preserve"/>
      </w:r>
    </w:p>
    <w:p>
      <w:pPr>
        <w:pStyle w:val="Heading2"/>
        <w:spacing w:before="240" w:after="120"/>
      </w:pPr>
      <w:r>
        <w:rPr>
          <w:rFonts w:ascii="Arial" w:cs="Arial" w:eastAsia="Arial" w:hAnsi="Arial"/>
          <w:b/>
          <w:bCs/>
          <w:color w:val="1B2A4A"/>
          <w:sz w:val="24"/>
          <w:szCs w:val="24"/>
        </w:rPr>
        <w:t xml:space="preserve">COUNTER-REBUTTAL BARRIER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TO RESPOND TO THIS REBUTTAL, THE OPPOSING PARTY MUST:</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(A) Show that actual notice was not given. The written Cease and Desist Notice constitutes actual notice.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(B) Show that the Supreme Court of the United States did not hold in Taylor v. Freeland &amp; Kronz that failure to respond within a stated period is absolute and binding. The reported holding is the holding.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(C) Show that a party may preserve defenses through strategic non-response after actual notice. The common law maxim Qui tacet consentire videtur and the pleading principle of Rule 8(b)(6) establish the opposite. This avenue fails.</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EVERY AVENUE OF RESPONSE FAILS AS A MATTER OF LAW.</w:t>
            </w:r>
          </w:p>
        </w:tc>
      </w:tr>
    </w:tbl>
    <w:p>
      <w:r>
        <w:br w:type="page"/>
      </w:r>
    </w:p>
    <w:p>
      <w:pPr>
        <w:pStyle w:val="Heading1"/>
        <w:spacing w:before="320" w:after="160"/>
      </w:pPr>
      <w:r>
        <w:rPr>
          <w:rFonts w:ascii="Arial" w:cs="Arial" w:eastAsia="Arial" w:hAnsi="Arial"/>
          <w:b/>
          <w:bCs/>
          <w:color w:val="1B2A4A"/>
          <w:sz w:val="28"/>
          <w:szCs w:val="28"/>
        </w:rPr>
        <w:t xml:space="preserve">SECTION XIII — ZERO REDUNDANCY PROOF TABLE</w:t>
      </w:r>
    </w:p>
    <w:p>
      <w:pPr>
        <w:pBdr>
          <w:bottom w:val="single" w:color="1B2A4A" w:sz="6" w:space="1"/>
        </w:pBdr>
        <w:spacing w:before="120" w:after="120"/>
      </w:pPr>
      <w:r>
        <w:t xml:space="preserve"/>
      </w:r>
    </w:p>
    <w:p>
      <w:pPr>
        <w:spacing w:before="80" w:after="80"/>
      </w:pPr>
      <w:r>
        <w:t xml:space="preserve"/>
      </w:r>
    </w:p>
    <w:p>
      <w:pPr>
        <w:spacing w:before="80" w:after="80"/>
      </w:pPr>
      <w:r>
        <w:rPr>
          <w:rFonts w:ascii="Arial" w:cs="Arial" w:eastAsia="Arial" w:hAnsi="Arial"/>
          <w:b w:val="false"/>
          <w:bCs w:val="false"/>
          <w:sz w:val="22"/>
          <w:szCs w:val="22"/>
        </w:rPr>
        <w:t xml:space="preserve">Every claim in this document addresses a distinct right, a distinct Act of Congress, and a distinct legal consequence. No claim duplicates another. The following table establishes this on the record.</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2200"/>
        <w:gridCol w:w="2560"/>
      </w:tblGrid>
      <w:tr>
        <w:tc>
          <w:tcPr>
            <w:tcW w:type="dxa" w:w="22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18"/>
                <w:szCs w:val="18"/>
              </w:rPr>
              <w:t xml:space="preserve">CLAIM</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CLAIM I — Unauthorized Commercial Use</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Fifth Amendment just compensation — property taken for commercial gain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Fifth Amendment, Civil Rights Act 1871, 17 Stat. 13</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Liability for taking without just compensation — unjust enrichment — conversion</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CLAIM II — Promissory Note At Par</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Freedom from false debt obligation — Federal Reserve Act, 38 Stat. 251</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Federal Reserve Act, Section 16, 38 Stat. 251</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No standing, no cognizable injury, no jurisdiction — all proceedings void ab initio</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CLAIM III — DACA Owner/Custodian</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Fifth Amendment property right in collateral — owner is owner, custodian is custodian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U.C.C. Article 9 as state-enacted law</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Conversion of property — trespass — liability for unauthorized appropriation of collateral</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CLAIM IV — Common Law Copyright</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First, Fourth, Fifth, Ninth, Tenth Amendment — secured property in papers, effects, and identity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Article I §8 Cl. 8 — Copyright Act, 35 Stat. 1075</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Willful infringement — maximum statutory damages per work infringed after notice</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CLAIM V — Trust Law / Trustee Duty</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Trust Res protected as legal property — Trustee holds legal title — mandatory fiduciary duty to enforce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Common law of trusts — Restatement (Third) of Trusts</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Trespass upon Trust Res — fiduciary enforcement action — arbitration</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CLAIM VI — Notice and Due Process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Fifth Amendment due process — notice and opportunity before deprivation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Fifth Amendment — Civil Rights Act 1871, 17 Stat. 13</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Void ab initio any action taken without notice — Mullane v. Central Hanover Bank</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CLAIM VII — Arbitration / Non-Signatory</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Right to enforce arbitration agreement against all parties dealing with Trust property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Act of February 12, 1925, 43 Stat. 883</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Non-signatory bound by estoppel — arbitration proceeds — award is final and binding</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CLAIM VIII — Tacit Acquiescence</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Right to rely on admitted facts after actual notice and non-response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Common law pleading — Rule 8(b)(6) principles</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All allegations admitted — no defenses preserved — arbitration proceeds on admitted record</w:t>
            </w:r>
          </w:p>
        </w:tc>
      </w:tr>
    </w:tbl>
    <w:p>
      <w:r>
        <w:br w:type="page"/>
      </w:r>
    </w:p>
    <w:p>
      <w:pPr>
        <w:pStyle w:val="Heading1"/>
        <w:spacing w:before="320" w:after="160"/>
      </w:pPr>
      <w:r>
        <w:rPr>
          <w:rFonts w:ascii="Arial" w:cs="Arial" w:eastAsia="Arial" w:hAnsi="Arial"/>
          <w:b/>
          <w:bCs/>
          <w:color w:val="1B2A4A"/>
          <w:sz w:val="28"/>
          <w:szCs w:val="28"/>
        </w:rPr>
        <w:t xml:space="preserve">SECTION XIV — NOT GOBBLEDYGOOK — AUTHORITY VERIFICATION TABLE</w:t>
      </w:r>
    </w:p>
    <w:p>
      <w:pPr>
        <w:pBdr>
          <w:bottom w:val="single" w:color="1B2A4A" w:sz="6" w:space="1"/>
        </w:pBdr>
        <w:spacing w:before="120" w:after="120"/>
      </w:pPr>
      <w:r>
        <w:t xml:space="preserve"/>
      </w:r>
    </w:p>
    <w:p>
      <w:pPr>
        <w:spacing w:before="80" w:after="80"/>
      </w:pPr>
      <w:r>
        <w:t xml:space="preserve"/>
      </w:r>
    </w:p>
    <w:p>
      <w:pPr>
        <w:spacing w:before="80" w:after="80"/>
      </w:pPr>
      <w:r>
        <w:rPr>
          <w:rFonts w:ascii="Arial" w:cs="Arial" w:eastAsia="Arial" w:hAnsi="Arial"/>
          <w:b w:val="false"/>
          <w:bCs w:val="false"/>
          <w:sz w:val="22"/>
          <w:szCs w:val="22"/>
        </w:rPr>
        <w:t xml:space="preserve">Every proposition in this document is grounded in the text of the Constitution, an Act of Congress published in the United States Statutes at Large, or a holding of the Supreme Court of the United States. The following table places that verification on the record.</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PROPOSITION</w:t>
            </w:r>
          </w:p>
        </w:tc>
        <w:tc>
          <w:tcPr>
            <w:tcW w:type="dxa" w:w="516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STATUTES AT LARGE / SCOTUS HOLDING</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Personal property includes name, identity, reputation, papers, and effects.</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Fourth Amendment text. Board of Regents v. Roth, 408 U.S. 564 (1972). Zacchini v. Scripps-Howard Broadcasting Co., 433 U.S. 562 (1977).</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No private property shall be taken without just compensation.</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Fifth Amendment text. United States v. 564.54 Acres of Land, 441 U.S. 506 (1979). Penn Central Transportation Co. v. City of New York, 438 U.S. 104 (1978).</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 promissory note deposited with a Federal Reserve agent is received at par — full face value.</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Federal Reserve Act, Section 16, 38 Stat. 251 (1913). Ruckelshaus v. Monsanto Co., 467 U.S. 986 (1984).</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depository institution received par and has no cognizable injury.</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38 Stat. 251, Section 16. Lujan v. Defenders of Wildlife, 504 U.S. 555 (1992).</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DACA identifies the debtor as owner and the bank as custodian.</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U.C.C. Article 9 §§ 9-104, 9-207 as state-enacted law. Loretto v. Teleprompter Manhattan CATV Corp., 458 U.S. 419 (1982).</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Common law copyright is secured by the First, Fourth, Fifth, Ninth, and Tenth Amendments.</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First, Fourth, Fifth, Ninth, Tenth Amendments — text. Article I §8 Cl. 8 — text. Zacchini v. Scripps-Howard Broadcasting Co., 433 U.S. 562 (1977).</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Trustee has mandatory fiduciary duty to protect Trust Res from trespass.</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Restatement (Third) of Trusts, Sections 76, 77, 81 (common law). Mullane v. Central Hanover Bank &amp; Trust Co., 339 U.S. 306 (1950).</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Due process requires notice and opportunity before deprivation of property.</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Fifth Amendment text. Mullane v. Central Hanover Bank &amp; Trust Co., 339 U.S. 306 (1950). Mathews v. Eldridge, 424 U.S. 319 (1976).</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Non-signatories are bound by arbitration agreements under estoppel.</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Act of February 12, 1925, 43 Stat. 883. Arthur Andersen LLP v. Carlisle, 556 U.S. 624 (2009).</w:t>
            </w:r>
          </w:p>
        </w:tc>
      </w:tr>
      <w:tr>
        <w:tc>
          <w:tcPr>
            <w:tcW w:type="dxa" w:w="420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Non-response within the stated period constitutes tacit acquiescence and admission.</w:t>
            </w:r>
          </w:p>
        </w:tc>
        <w:tc>
          <w:tcPr>
            <w:tcW w:type="dxa" w:w="5160"/>
            <w:tcBorders>
              <w:top w:val="single" w:color="CCCCCC" w:sz="1"/>
              <w:left w:val="single" w:color="CCCCCC" w:sz="1"/>
              <w:bottom w:val="single" w:color="CCCCCC" w:sz="1"/>
              <w:right w:val="single" w:color="CCCCCC" w:sz="1"/>
            </w:tcBorders>
            <w:shd w:fill="F2F4F8" w:val="clear"/>
            <w:tcMar>
              <w:top w:type="dxa" w:w="80"/>
              <w:left w:type="dxa" w:w="120"/>
              <w:bottom w:type="dxa" w:w="80"/>
              <w:right w:type="dxa" w:w="120"/>
            </w:tcMar>
          </w:tcPr>
          <w:p>
            <w:r>
              <w:rPr>
                <w:rFonts w:ascii="Arial" w:cs="Arial" w:eastAsia="Arial" w:hAnsi="Arial"/>
                <w:b w:val="false"/>
                <w:bCs w:val="false"/>
                <w:color w:val="000000"/>
                <w:sz w:val="20"/>
                <w:szCs w:val="20"/>
              </w:rPr>
              <w:t xml:space="preserve">Common law — Qui tacet consentire videtur. Taylor v. Freeland &amp; Kronz, 503 U.S. 638 (1992). Mullane v. Central Hanover Bank &amp; Trust Co., 339 U.S. 306 (1950).</w:t>
            </w:r>
          </w:p>
        </w:tc>
      </w:tr>
    </w:tbl>
    <w:p>
      <w:r>
        <w:br w:type="page"/>
      </w:r>
    </w:p>
    <w:p>
      <w:pPr>
        <w:pStyle w:val="Heading1"/>
        <w:spacing w:before="320" w:after="160"/>
      </w:pPr>
      <w:r>
        <w:rPr>
          <w:rFonts w:ascii="Arial" w:cs="Arial" w:eastAsia="Arial" w:hAnsi="Arial"/>
          <w:b/>
          <w:bCs/>
          <w:color w:val="1B2A4A"/>
          <w:sz w:val="28"/>
          <w:szCs w:val="28"/>
        </w:rPr>
        <w:t xml:space="preserve">SECTION XV — COUNTER-REBUTTAL BARRIER — MASTER STATEMENT</w:t>
      </w:r>
    </w:p>
    <w:p>
      <w:pPr>
        <w:pBdr>
          <w:bottom w:val="single" w:color="1B2A4A" w:sz="6" w:space="1"/>
        </w:pBdr>
        <w:spacing w:before="120" w:after="120"/>
      </w:pPr>
      <w:r>
        <w:t xml:space="preserve"/>
      </w:r>
    </w:p>
    <w:p>
      <w:pPr>
        <w:spacing w:before="80" w:after="80"/>
      </w:pPr>
      <w:r>
        <w:t xml:space="preserve"/>
      </w:r>
    </w:p>
    <w:p>
      <w:pPr>
        <w:spacing w:before="80" w:after="80"/>
      </w:pPr>
      <w:r>
        <w:rPr>
          <w:rFonts w:ascii="Arial" w:cs="Arial" w:eastAsia="Arial" w:hAnsi="Arial"/>
          <w:b w:val="false"/>
          <w:bCs w:val="false"/>
          <w:sz w:val="22"/>
          <w:szCs w:val="22"/>
        </w:rPr>
        <w:t xml:space="preserve">To respond to any rebuttal in this document, the opposing party must do one or more of the following. Each avenue of response is addressed below. Each fails as a matter of law.</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AVENUE (A): Show that Congress did not write what the Statutes at Large show Congress wrote.</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RESULT: This is not possible. The Statutes at Large are the published law of Congress.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They cannot be un-written by any party's argument.</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avenue fails.</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AVENUE (B): Show that the Supreme Court of the United States did not hold what the named, reported holding shows it held.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RESULT: This is not possible. The reported holding is the holding.</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It cannot be un-held by any party's argument.</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avenue fails.</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AVENUE (C): Show that the Act of Congress does not mean what Congress said it means in the Congressional Record.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RESULT: This is not possible. Congress is the author. The Congressional Record is the record of what Congress intended.</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 party's interpretation does not override Congress.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avenue fails.</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AVENUE (D): Show that jurisdiction is procedural, discretionary, or subject to deference — not constitutional.</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RESULT: This is not possible. Jurisdiction is established by Article III. It is constitutional.</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No rule of practice overrides Article III. No deference doctrine overrides Article III.</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avenue fails.</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AVENUE (E): Show that the Trust Res is not protected property under the Fourth and Fifth Amendments.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RESULT: This is not possible. The Supreme Court of the United States held in Board of Regents v. Roth, Zacchini, and Ruckelshaus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that personal property interests — including identity, name, papers, effects, and financial instruments — are constitutionally protected property.</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This avenue fails.</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CONCLUSION OF THE COUNTER-REBUTTAL BARRIER:</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Every avenue of response fails as a matter of law.</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Every presumption in this document is irrefutably rebutted.</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Every rebuttal stands on the record as the controlling legal reality.</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The court, the tribunal, and the arbitrator are required by law to address each claim.</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Dismissal without addressing each claim on its legal merits is itself a legal error.</w:t>
            </w:r>
          </w:p>
        </w:tc>
      </w:tr>
      <w:tr>
        <w:tc>
          <w:tcPr>
            <w:tcW w:type="dxa" w:w="9360"/>
            <w:tcBorders>
              <w:top w:val="none" w:color="FFFFFF" w:sz="0"/>
              <w:left w:val="none" w:color="FFFFFF" w:sz="0"/>
              <w:bottom w:val="none" w:color="FFFFFF" w:sz="0"/>
              <w:right w:val="none" w:color="FFFFFF" w:sz="0"/>
            </w:tcBorders>
            <w:shd w:fill="FFD700" w:val="clear"/>
            <w:tcMar>
              <w:top w:type="dxa" w:w="100"/>
              <w:left w:type="dxa" w:w="180"/>
              <w:bottom w:type="dxa" w:w="60"/>
              <w:right w:type="dxa" w:w="180"/>
            </w:tcMar>
          </w:tcPr>
          <w:p>
            <w:pPr>
              <w:spacing w:before="40" w:after="40"/>
            </w:pPr>
            <w:r>
              <w:rPr>
                <w:rFonts w:ascii="Arial" w:cs="Arial" w:eastAsia="Arial" w:hAnsi="Arial"/>
                <w:b/>
                <w:bCs/>
                <w:color w:val="1B2A4A"/>
                <w:sz w:val="22"/>
                <w:szCs w:val="22"/>
              </w:rPr>
              <w:t xml:space="preserve">The record is the record. The law is the law.</w:t>
            </w:r>
          </w:p>
        </w:tc>
      </w:tr>
    </w:tbl>
    <w:p>
      <w:r>
        <w:br w:type="page"/>
      </w:r>
    </w:p>
    <w:p>
      <w:pPr>
        <w:pStyle w:val="Heading1"/>
        <w:spacing w:before="320" w:after="160"/>
      </w:pPr>
      <w:r>
        <w:rPr>
          <w:rFonts w:ascii="Arial" w:cs="Arial" w:eastAsia="Arial" w:hAnsi="Arial"/>
          <w:b/>
          <w:bCs/>
          <w:color w:val="1B2A4A"/>
          <w:sz w:val="28"/>
          <w:szCs w:val="28"/>
        </w:rPr>
        <w:t xml:space="preserve">SECTION XVI — FINAL CONCLUSION OF LAW</w:t>
      </w:r>
    </w:p>
    <w:p>
      <w:pPr>
        <w:pBdr>
          <w:bottom w:val="single" w:color="1B2A4A" w:sz="6" w:space="1"/>
        </w:pBdr>
        <w:spacing w:before="120" w:after="120"/>
      </w:pPr>
      <w:r>
        <w:t xml:space="preserve"/>
      </w:r>
    </w:p>
    <w:p>
      <w:pPr>
        <w:spacing w:before="80" w:after="80"/>
      </w:pPr>
      <w:r>
        <w:t xml:space="preserve"/>
      </w:r>
    </w:p>
    <w:p>
      <w:pPr>
        <w:spacing w:before="80" w:after="80"/>
      </w:pPr>
      <w:r>
        <w:rPr>
          <w:rFonts w:ascii="Arial" w:cs="Arial" w:eastAsia="Arial" w:hAnsi="Arial"/>
          <w:b w:val="false"/>
          <w:bCs w:val="false"/>
          <w:sz w:val="22"/>
          <w:szCs w:val="22"/>
        </w:rPr>
        <w:t xml:space="preserve">The following facts and conclusions of law are placed on the record. They are final. They are not arguments. They are not opinions. They are the law as enacted by Congress, as interpreted by the Supreme Court of the United States, and as secured by the Constitution of the United States.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CONCLUSION 1: A person's name, identity, reputation, papers, effects, and all associated property interests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are private property secured by the Fourth and Fifth Amendments to the Constitution of the United States.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Any unauthorized commercial use of that property without just compensation is a taking in violation of the Fifth Amendment.</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CONCLUSION 2: A promissory note received at par by a Federal Reserve member institution under 38 Stat. 251</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creates no residual debt obligation running from the depositor to the institution.</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institution received full face value. It has no cognizable injury. It has no standing.</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CONCLUSION 3: A Deposit Account Control Agreement identifies the debtor as owner and the bank as custodian.</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custodian does not own what it holds in custody.</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Any assertion of ownership by the custodian is a conversion of property.</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CONCLUSION 4: The First, Fourth, Fifth, Ninth, and Tenth Amendments collectively secure</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 common law copyright in a person's name, identity, papers, effects, and associated instruments.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Continued use after a Cease and Desist Notice is willful infringement carrying maximum statutory damages.</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CONCLUSION 5: The Trustee holds legal title to the Trust Res.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Trustee's fiduciary duty to protect the Trust Res from trespass is mandatory — not discretionary.</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Trustee's authority to enforce Trust property rights against all third parties is absolute.</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CONCLUSION 6: The Trustee's Cease and Desist Notice satisfies the constitutional due process requirements</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established by the Supreme Court of the United States in Mullane v. Central Hanover Bank &amp; Trust Co., 339 U.S. 306 (1950)</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and Mathews v. Eldridge, 424 U.S. 319 (1976).</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Notice was given. The opportunity to respond was given. The requirements are satisfied.</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CONCLUSION 7: The company is bound by the Trust's arbitration agreement under the doctrine of estoppel</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as established by the Supreme Court of the United States in Arthur Andersen LLP v. Carlisle, 556 U.S. 624 (2009).</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arbitration proceeds under the Act of February 12, 1925, 43 Stat. 883.</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award is final, binding, and self-executing.</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CONCLUSION 8: The company's non-response within 72 hours constitutes tacit acquiescence</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and admission of all facts stated in the Notice as a matter of law.</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No defenses are preserved by strategic non-response after actual notice.</w:t>
            </w:r>
          </w:p>
        </w:tc>
      </w:tr>
      <w:tr>
        <w:tc>
          <w:tcPr>
            <w:tcW w:type="dxa" w:w="9360"/>
            <w:tcBorders>
              <w:top w:val="none" w:color="FFFFFF" w:sz="0"/>
              <w:left w:val="none" w:color="FFFFFF" w:sz="0"/>
              <w:bottom w:val="none" w:color="FFFFFF" w:sz="0"/>
              <w:right w:val="none" w:color="FFFFFF" w:sz="0"/>
            </w:tcBorders>
            <w:shd w:fill="1B2A4A"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arbitration proceeds on the admitted record.</w:t>
            </w:r>
          </w:p>
        </w:tc>
      </w:tr>
    </w:tbl>
    <w:p>
      <w:pPr>
        <w:spacing w:before="80" w:after="80"/>
      </w:pPr>
      <w:r>
        <w:t xml:space="preserve"/>
      </w:r>
    </w:p>
    <w:p>
      <w:pPr>
        <w:pBdr>
          <w:bottom w:val="single" w:color="1B2A4A" w:sz="6" w:space="1"/>
        </w:pBdr>
        <w:spacing w:before="120" w:after="120"/>
      </w:pPr>
      <w:r>
        <w:t xml:space="preserve"/>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360"/>
      </w:tblGrid>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NO CLAIM GROUNDED IN THE STATUTES AT LARGE AND A HOLDING OF THE SUPREME COURT OF THE UNITED STATES IS FRIVOLOUS.</w:t>
            </w:r>
          </w:p>
        </w:tc>
      </w:tr>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NO CLAIM GROUNDED IN THE STATUTES AT LARGE AND A HOLDING OF THE SUPREME COURT OF THE UNITED STATES IS MERITLESS.</w:t>
            </w:r>
          </w:p>
        </w:tc>
      </w:tr>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NO CLAIM GROUNDED IN THE STATUTES AT LARGE AND A HOLDING OF THE SUPREME COURT OF THE UNITED STATES IS BASELESS.</w:t>
            </w:r>
          </w:p>
        </w:tc>
      </w:tr>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NO CLAIM GROUNDED IN THE STATUTES AT LARGE AND A HOLDING OF THE SUPREME COURT OF THE UNITED STATES IS REDUNDANT.</w:t>
            </w:r>
          </w:p>
        </w:tc>
      </w:tr>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NO CLAIM GROUNDED IN THE STATUTES AT LARGE AND A HOLDING OF THE SUPREME COURT OF THE UNITED STATES IS GOBBLEDYGOOK.</w:t>
            </w:r>
          </w:p>
        </w:tc>
      </w:tr>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TO CHARACTERIZE SUCH A CLAIM AS ANY OF THE ABOVE IS TO CHARACTERIZE AN ACT OF CONGRESS AS FRIVOLOUS.</w:t>
            </w:r>
          </w:p>
        </w:tc>
      </w:tr>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THAT IS NOT A LEGAL ARGUMENT. THAT IS NOT COGNIZABLE. THAT FAILS AS A MATTER OF LAW.</w:t>
            </w:r>
          </w:p>
        </w:tc>
      </w:tr>
      <w:tr>
        <w:tc>
          <w:tcPr>
            <w:tcW w:type="dxa" w:w="9360"/>
            <w:tcBorders>
              <w:top w:val="none" w:color="FFFFFF" w:sz="0"/>
              <w:left w:val="none" w:color="FFFFFF" w:sz="0"/>
              <w:bottom w:val="none" w:color="FFFFFF" w:sz="0"/>
              <w:right w:val="none" w:color="FFFFFF" w:sz="0"/>
            </w:tcBorders>
            <w:shd w:fill="8B0000" w:val="clear"/>
            <w:tcMar>
              <w:top w:type="dxa" w:w="120"/>
              <w:left w:type="dxa" w:w="180"/>
              <w:bottom w:type="dxa" w:w="60"/>
              <w:right w:type="dxa" w:w="180"/>
            </w:tcMar>
          </w:tcPr>
          <w:p>
            <w:pPr>
              <w:spacing w:before="40" w:after="40"/>
            </w:pPr>
            <w:r>
              <w:rPr>
                <w:rFonts w:ascii="Arial" w:cs="Arial" w:eastAsia="Arial" w:hAnsi="Arial"/>
                <w:b/>
                <w:bCs/>
                <w:color w:val="FFFFFF"/>
                <w:sz w:val="22"/>
                <w:szCs w:val="22"/>
              </w:rPr>
              <w:t xml:space="preserve">THE CLAIMS ARE REQUIRED BY LAW TO BE ADDRESSED. THAT IS THE CONCLUSION OF LAW. IT IS FINAL.</w:t>
            </w:r>
          </w:p>
        </w:tc>
      </w:tr>
    </w:tbl>
    <w:p>
      <w:pPr>
        <w:spacing w:before="80" w:after="80"/>
      </w:pPr>
      <w:r>
        <w:t xml:space="preserve"/>
      </w:r>
    </w:p>
    <w:p>
      <w:pPr>
        <w:pBdr>
          <w:bottom w:val="single" w:color="1B2A4A" w:sz="6" w:space="1"/>
        </w:pBdr>
        <w:spacing w:before="120" w:after="120"/>
      </w:pPr>
      <w:r>
        <w:t xml:space="preserve"/>
      </w:r>
    </w:p>
    <w:p>
      <w:pPr>
        <w:spacing w:before="80" w:after="80"/>
      </w:pPr>
      <w:r>
        <w:t xml:space="preserve"/>
      </w:r>
    </w:p>
    <w:p>
      <w:pPr>
        <w:spacing w:before="160" w:after="80"/>
        <w:jc w:val="center"/>
      </w:pPr>
      <w:r>
        <w:rPr>
          <w:rFonts w:ascii="Arial" w:cs="Arial" w:eastAsia="Arial" w:hAnsi="Arial"/>
          <w:b/>
          <w:bCs/>
          <w:color w:val="1B2A4A"/>
          <w:sz w:val="22"/>
          <w:szCs w:val="22"/>
        </w:rPr>
        <w:t xml:space="preserve">ALL RIGHTS, REMEDIES, AND FIDUCIARY POWERS ARE EXPRESSLY RESERVED.</w:t>
      </w:r>
    </w:p>
    <w:p>
      <w:pPr>
        <w:spacing w:before="80" w:after="80"/>
        <w:jc w:val="center"/>
      </w:pPr>
      <w:r>
        <w:rPr>
          <w:rFonts w:ascii="Arial" w:cs="Arial" w:eastAsia="Arial" w:hAnsi="Arial"/>
          <w:b/>
          <w:bCs/>
          <w:color w:val="1B2A4A"/>
          <w:sz w:val="22"/>
          <w:szCs w:val="22"/>
        </w:rPr>
        <w:t xml:space="preserve">THE SOVEREIGNTY RESTS AND RESIDES WITH THE PEOPLE.</w:t>
      </w:r>
    </w:p>
    <w:p>
      <w:pPr>
        <w:spacing w:before="80" w:after="80"/>
        <w:jc w:val="center"/>
      </w:pPr>
      <w:r>
        <w:rPr>
          <w:rFonts w:ascii="Arial" w:cs="Arial" w:eastAsia="Arial" w:hAnsi="Arial"/>
          <w:b/>
          <w:bCs/>
          <w:color w:val="1B2A4A"/>
          <w:sz w:val="22"/>
          <w:szCs w:val="22"/>
        </w:rPr>
        <w:t xml:space="preserve">THE PEOPLE ARE THE GOVERNMENT OF THE UNITED STATES COLLECTIVELY.</w:t>
      </w:r>
    </w:p>
    <w:p>
      <w:pPr>
        <w:spacing w:before="80" w:after="80"/>
        <w:jc w:val="center"/>
      </w:pPr>
      <w:r>
        <w:rPr>
          <w:rFonts w:ascii="Arial" w:cs="Arial" w:eastAsia="Arial" w:hAnsi="Arial"/>
          <w:b/>
          <w:bCs/>
          <w:color w:val="1B2A4A"/>
          <w:sz w:val="22"/>
          <w:szCs w:val="22"/>
        </w:rPr>
        <w:t xml:space="preserve">NO JUDICIAL OFFICER — NO OFFICER OF ANY KIND — HAS UNIQUE AUTHORITY</w:t>
      </w:r>
    </w:p>
    <w:p>
      <w:pPr>
        <w:spacing w:before="80" w:after="160"/>
        <w:jc w:val="center"/>
      </w:pPr>
      <w:r>
        <w:rPr>
          <w:rFonts w:ascii="Arial" w:cs="Arial" w:eastAsia="Arial" w:hAnsi="Arial"/>
          <w:b/>
          <w:bCs/>
          <w:color w:val="1B2A4A"/>
          <w:sz w:val="22"/>
          <w:szCs w:val="22"/>
        </w:rPr>
        <w:t xml:space="preserve">TO VIOLATE ANY RIGHT OF ANY PERSON IN AMERICA.</w:t>
      </w:r>
    </w:p>
    <w:p>
      <w:pPr>
        <w:spacing w:before="80" w:after="80"/>
      </w:pPr>
      <w:r>
        <w:t xml:space="preserve"/>
      </w:r>
    </w:p>
    <w:p>
      <w:pPr>
        <w:spacing w:before="240" w:after="80"/>
        <w:jc w:val="right"/>
      </w:pPr>
      <w:r>
        <w:rPr>
          <w:rFonts w:ascii="Arial" w:cs="Arial" w:eastAsia="Arial" w:hAnsi="Arial"/>
          <w:sz w:val="22"/>
          <w:szCs w:val="22"/>
        </w:rPr>
        <w:t xml:space="preserve">___________________________________</w:t>
      </w:r>
    </w:p>
    <w:p>
      <w:pPr>
        <w:spacing w:before="40" w:after="40"/>
        <w:jc w:val="right"/>
      </w:pPr>
      <w:r>
        <w:rPr>
          <w:rFonts w:ascii="Arial" w:cs="Arial" w:eastAsia="Arial" w:hAnsi="Arial"/>
          <w:sz w:val="22"/>
          <w:szCs w:val="22"/>
        </w:rPr>
        <w:t xml:space="preserve">Trustee Signature</w:t>
      </w:r>
    </w:p>
    <w:p>
      <w:pPr>
        <w:spacing w:before="40" w:after="40"/>
        <w:jc w:val="right"/>
      </w:pPr>
      <w:r>
        <w:rPr>
          <w:rFonts w:ascii="Arial" w:cs="Arial" w:eastAsia="Arial" w:hAnsi="Arial"/>
          <w:sz w:val="20"/>
          <w:szCs w:val="20"/>
        </w:rPr>
        <w:t xml:space="preserve">Common-Law Organizational Constructive Express Spendthrift Trust</w:t>
      </w:r>
    </w:p>
    <w:p>
      <w:pPr>
        <w:spacing w:before="40" w:after="40"/>
        <w:jc w:val="right"/>
      </w:pPr>
      <w:r>
        <w:rPr>
          <w:rFonts w:ascii="Arial" w:cs="Arial" w:eastAsia="Arial" w:hAnsi="Arial"/>
          <w:sz w:val="20"/>
          <w:szCs w:val="20"/>
        </w:rPr>
        <w:t xml:space="preserve">Acting under Trust Instrument and Arbitration Authority</w:t>
      </w:r>
    </w:p>
    <w:p>
      <w:pPr>
        <w:spacing w:before="40" w:after="40"/>
        <w:jc w:val="right"/>
      </w:pPr>
      <w:r>
        <w:rPr>
          <w:rFonts w:ascii="Arial" w:cs="Arial" w:eastAsia="Arial" w:hAnsi="Arial"/>
          <w:sz w:val="20"/>
          <w:szCs w:val="20"/>
        </w:rPr>
        <w:t xml:space="preserve">Date: March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1B2A4A"/>
      <w:sz w:val="28"/>
      <w:szCs w:val="28"/>
    </w:rPr>
  </w:style>
  <w:style w:type="paragraph" w:styleId="Heading2">
    <w:name w:val="Heading 2"/>
    <w:basedOn w:val="Normal"/>
    <w:next w:val="Normal"/>
    <w:qFormat/>
    <w:pPr>
      <w:spacing w:before="240" w:after="120"/>
      <w:outlineLvl w:val="1"/>
    </w:pPr>
    <w:rPr>
      <w:rFonts w:ascii="Arial" w:cs="Arial" w:eastAsia="Arial" w:hAnsi="Arial"/>
      <w:b/>
      <w:bCs/>
      <w:color w:val="1B2A4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2026-03-10T00:54:42.736Z</dcterms:created>
  <dcterms:modified xsi:type="dcterms:W3CDTF">2026-03-10T00:54:42.737Z</dcterms:modified>
</cp:coreProperties>
</file>

<file path=docProps/custom.xml><?xml version="1.0" encoding="utf-8"?>
<Properties xmlns="http://schemas.openxmlformats.org/officeDocument/2006/custom-properties" xmlns:vt="http://schemas.openxmlformats.org/officeDocument/2006/docPropsVTypes"/>
</file>